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1C" w:rsidRDefault="00025A1C" w:rsidP="00025A1C">
      <w:pPr>
        <w:spacing w:line="360" w:lineRule="auto"/>
        <w:rPr>
          <w:rFonts w:ascii="方正黑体_GBK" w:eastAsia="方正黑体_GBK" w:hAnsi="方正黑体_GBK" w:cs="方正黑体_GBK" w:hint="eastAsia"/>
          <w:bCs/>
          <w:szCs w:val="32"/>
        </w:rPr>
      </w:pPr>
      <w:r>
        <w:rPr>
          <w:rFonts w:ascii="方正黑体_GBK" w:eastAsia="方正黑体_GBK" w:hAnsi="方正黑体_GBK" w:cs="方正黑体_GBK" w:hint="eastAsia"/>
          <w:bCs/>
          <w:szCs w:val="32"/>
        </w:rPr>
        <w:t>附件</w:t>
      </w:r>
    </w:p>
    <w:p w:rsidR="00025A1C" w:rsidRDefault="00025A1C" w:rsidP="00025A1C">
      <w:pPr>
        <w:spacing w:line="600" w:lineRule="exact"/>
        <w:jc w:val="center"/>
        <w:rPr>
          <w:rFonts w:ascii="仿宋_GB2312" w:eastAsia="仿宋_GB2312" w:hAnsi="仿宋_GB2312" w:cs="仿宋_GB2312" w:hint="eastAsia"/>
          <w:b/>
          <w:szCs w:val="32"/>
        </w:rPr>
      </w:pPr>
      <w:r>
        <w:rPr>
          <w:rFonts w:ascii="仿宋_GB2312" w:eastAsia="仿宋_GB2312" w:hAnsi="仿宋_GB2312" w:cs="仿宋_GB2312" w:hint="eastAsia"/>
          <w:b/>
          <w:szCs w:val="32"/>
        </w:rPr>
        <w:t>一品河（高职城段）防洪护岸综合治理工程</w:t>
      </w:r>
    </w:p>
    <w:p w:rsidR="00025A1C" w:rsidRDefault="00025A1C" w:rsidP="00025A1C">
      <w:pPr>
        <w:spacing w:line="600" w:lineRule="exact"/>
        <w:jc w:val="center"/>
        <w:rPr>
          <w:rFonts w:ascii="仿宋_GB2312" w:eastAsia="仿宋_GB2312" w:hAnsi="仿宋_GB2312" w:cs="仿宋_GB2312" w:hint="eastAsia"/>
          <w:b/>
          <w:szCs w:val="32"/>
        </w:rPr>
      </w:pPr>
      <w:r>
        <w:rPr>
          <w:rFonts w:ascii="仿宋_GB2312" w:eastAsia="仿宋_GB2312" w:hAnsi="仿宋_GB2312" w:cs="仿宋_GB2312" w:hint="eastAsia"/>
          <w:b/>
          <w:szCs w:val="32"/>
        </w:rPr>
        <w:t>洪水影响评价报告专家评审意见</w:t>
      </w:r>
    </w:p>
    <w:p w:rsidR="00025A1C" w:rsidRDefault="00025A1C" w:rsidP="00025A1C">
      <w:pPr>
        <w:spacing w:line="540" w:lineRule="exact"/>
        <w:rPr>
          <w:rFonts w:ascii="仿宋_GB2312" w:eastAsia="仿宋_GB2312" w:hAnsi="仿宋_GB2312" w:cs="仿宋_GB2312" w:hint="eastAsia"/>
          <w:sz w:val="24"/>
        </w:rPr>
      </w:pPr>
    </w:p>
    <w:p w:rsidR="00025A1C" w:rsidRDefault="00025A1C" w:rsidP="00025A1C">
      <w:pPr>
        <w:adjustRightInd w:val="0"/>
        <w:snapToGrid w:val="0"/>
        <w:spacing w:line="540" w:lineRule="exact"/>
        <w:ind w:firstLineChars="200" w:firstLine="55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2023年9月22日，巴南区水利局组织召开了《一品河（高职城段）防洪护岸综合治理工程洪水影响评价报告(送审稿)》（以下简称《报告》）专家评审会议。参加会议的有：巴南区水利局、重庆市</w:t>
      </w:r>
      <w:proofErr w:type="gramStart"/>
      <w:r>
        <w:rPr>
          <w:rFonts w:ascii="仿宋_GB2312" w:eastAsia="仿宋_GB2312" w:hAnsi="仿宋_GB2312" w:cs="仿宋_GB2312" w:hint="eastAsia"/>
          <w:sz w:val="28"/>
          <w:szCs w:val="28"/>
        </w:rPr>
        <w:t>渝</w:t>
      </w:r>
      <w:proofErr w:type="gramEnd"/>
      <w:r>
        <w:rPr>
          <w:rFonts w:ascii="仿宋_GB2312" w:eastAsia="仿宋_GB2312" w:hAnsi="仿宋_GB2312" w:cs="仿宋_GB2312" w:hint="eastAsia"/>
          <w:sz w:val="28"/>
          <w:szCs w:val="28"/>
        </w:rPr>
        <w:t>兴建设投资有限公司（项目业主）、重庆渝南水利电力工程勘察设计有限公司（评价单位）的相关人员以及邀请专家。会议成立了专家组，在审阅《报告》听取汇报、讨论质询后，对《报告》提出了修改意见。会后，评价单位按修改意见进行修改和补充，专家组对修改后的《报告》进行了复核，形成评审意见如下：</w:t>
      </w:r>
    </w:p>
    <w:p w:rsidR="00025A1C" w:rsidRDefault="00025A1C" w:rsidP="00025A1C">
      <w:pPr>
        <w:adjustRightInd w:val="0"/>
        <w:snapToGrid w:val="0"/>
        <w:spacing w:line="540" w:lineRule="exact"/>
        <w:ind w:firstLineChars="200" w:firstLine="554"/>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一、项目基本情况</w:t>
      </w:r>
    </w:p>
    <w:p w:rsidR="00025A1C" w:rsidRDefault="00025A1C" w:rsidP="00025A1C">
      <w:pPr>
        <w:adjustRightInd w:val="0"/>
        <w:snapToGrid w:val="0"/>
        <w:spacing w:line="540" w:lineRule="exact"/>
        <w:ind w:firstLineChars="200" w:firstLine="55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本工程位于重庆市巴南区鱼洞街道和</w:t>
      </w:r>
      <w:proofErr w:type="gramStart"/>
      <w:r>
        <w:rPr>
          <w:rFonts w:ascii="仿宋_GB2312" w:eastAsia="仿宋_GB2312" w:hAnsi="仿宋_GB2312" w:cs="仿宋_GB2312" w:hint="eastAsia"/>
          <w:sz w:val="28"/>
          <w:szCs w:val="28"/>
        </w:rPr>
        <w:t>龙洲</w:t>
      </w:r>
      <w:proofErr w:type="gramEnd"/>
      <w:r>
        <w:rPr>
          <w:rFonts w:ascii="仿宋_GB2312" w:eastAsia="仿宋_GB2312" w:hAnsi="仿宋_GB2312" w:cs="仿宋_GB2312" w:hint="eastAsia"/>
          <w:sz w:val="28"/>
          <w:szCs w:val="28"/>
        </w:rPr>
        <w:t>湾街道</w:t>
      </w:r>
      <w:proofErr w:type="gramStart"/>
      <w:r>
        <w:rPr>
          <w:rFonts w:ascii="仿宋_GB2312" w:eastAsia="仿宋_GB2312" w:hAnsi="仿宋_GB2312" w:cs="仿宋_GB2312" w:hint="eastAsia"/>
          <w:sz w:val="28"/>
          <w:szCs w:val="28"/>
        </w:rPr>
        <w:t>一品河</w:t>
      </w:r>
      <w:proofErr w:type="gramEnd"/>
      <w:r>
        <w:rPr>
          <w:rFonts w:ascii="仿宋_GB2312" w:eastAsia="仿宋_GB2312" w:hAnsi="仿宋_GB2312" w:cs="仿宋_GB2312" w:hint="eastAsia"/>
          <w:sz w:val="28"/>
          <w:szCs w:val="28"/>
        </w:rPr>
        <w:t>两岸，分为上下游两段，上游段起于</w:t>
      </w:r>
      <w:proofErr w:type="gramStart"/>
      <w:r>
        <w:rPr>
          <w:rFonts w:ascii="仿宋_GB2312" w:eastAsia="仿宋_GB2312" w:hAnsi="仿宋_GB2312" w:cs="仿宋_GB2312" w:hint="eastAsia"/>
          <w:sz w:val="28"/>
          <w:szCs w:val="28"/>
        </w:rPr>
        <w:t>龙洲</w:t>
      </w:r>
      <w:proofErr w:type="gramEnd"/>
      <w:r>
        <w:rPr>
          <w:rFonts w:ascii="仿宋_GB2312" w:eastAsia="仿宋_GB2312" w:hAnsi="仿宋_GB2312" w:cs="仿宋_GB2312" w:hint="eastAsia"/>
          <w:sz w:val="28"/>
          <w:szCs w:val="28"/>
        </w:rPr>
        <w:t>湾街道沿河村一社</w:t>
      </w:r>
      <w:proofErr w:type="gramStart"/>
      <w:r>
        <w:rPr>
          <w:rFonts w:ascii="仿宋_GB2312" w:eastAsia="仿宋_GB2312" w:hAnsi="仿宋_GB2312" w:cs="仿宋_GB2312" w:hint="eastAsia"/>
          <w:sz w:val="28"/>
          <w:szCs w:val="28"/>
        </w:rPr>
        <w:t>毛条厂</w:t>
      </w:r>
      <w:proofErr w:type="gramEnd"/>
      <w:r>
        <w:rPr>
          <w:rFonts w:ascii="仿宋_GB2312" w:eastAsia="仿宋_GB2312" w:hAnsi="仿宋_GB2312" w:cs="仿宋_GB2312" w:hint="eastAsia"/>
          <w:sz w:val="28"/>
          <w:szCs w:val="28"/>
        </w:rPr>
        <w:t>附近，止于</w:t>
      </w:r>
      <w:proofErr w:type="gramStart"/>
      <w:r>
        <w:rPr>
          <w:rFonts w:ascii="仿宋_GB2312" w:eastAsia="仿宋_GB2312" w:hAnsi="仿宋_GB2312" w:cs="仿宋_GB2312" w:hint="eastAsia"/>
          <w:sz w:val="28"/>
          <w:szCs w:val="28"/>
        </w:rPr>
        <w:t>龙洲</w:t>
      </w:r>
      <w:proofErr w:type="gramEnd"/>
      <w:r>
        <w:rPr>
          <w:rFonts w:ascii="仿宋_GB2312" w:eastAsia="仿宋_GB2312" w:hAnsi="仿宋_GB2312" w:cs="仿宋_GB2312" w:hint="eastAsia"/>
          <w:sz w:val="28"/>
          <w:szCs w:val="28"/>
        </w:rPr>
        <w:t>湾街道沿河村一社大屋基附近；下游段起于</w:t>
      </w:r>
      <w:proofErr w:type="gramStart"/>
      <w:r>
        <w:rPr>
          <w:rFonts w:ascii="仿宋_GB2312" w:eastAsia="仿宋_GB2312" w:hAnsi="仿宋_GB2312" w:cs="仿宋_GB2312" w:hint="eastAsia"/>
          <w:sz w:val="28"/>
          <w:szCs w:val="28"/>
        </w:rPr>
        <w:t>龙洲</w:t>
      </w:r>
      <w:proofErr w:type="gramEnd"/>
      <w:r>
        <w:rPr>
          <w:rFonts w:ascii="仿宋_GB2312" w:eastAsia="仿宋_GB2312" w:hAnsi="仿宋_GB2312" w:cs="仿宋_GB2312" w:hint="eastAsia"/>
          <w:sz w:val="28"/>
          <w:szCs w:val="28"/>
        </w:rPr>
        <w:t>湾街道沿河村四社长</w:t>
      </w:r>
      <w:proofErr w:type="gramStart"/>
      <w:r>
        <w:rPr>
          <w:rFonts w:ascii="仿宋_GB2312" w:eastAsia="仿宋_GB2312" w:hAnsi="仿宋_GB2312" w:cs="仿宋_GB2312" w:hint="eastAsia"/>
          <w:sz w:val="28"/>
          <w:szCs w:val="28"/>
        </w:rPr>
        <w:t>凼</w:t>
      </w:r>
      <w:proofErr w:type="gramEnd"/>
      <w:r>
        <w:rPr>
          <w:rFonts w:ascii="仿宋_GB2312" w:eastAsia="仿宋_GB2312" w:hAnsi="仿宋_GB2312" w:cs="仿宋_GB2312" w:hint="eastAsia"/>
          <w:sz w:val="28"/>
          <w:szCs w:val="28"/>
        </w:rPr>
        <w:t>子沟现状河口附近，止于</w:t>
      </w:r>
      <w:proofErr w:type="gramStart"/>
      <w:r>
        <w:rPr>
          <w:rFonts w:ascii="仿宋_GB2312" w:eastAsia="仿宋_GB2312" w:hAnsi="仿宋_GB2312" w:cs="仿宋_GB2312" w:hint="eastAsia"/>
          <w:sz w:val="28"/>
          <w:szCs w:val="28"/>
        </w:rPr>
        <w:t>龙洲</w:t>
      </w:r>
      <w:proofErr w:type="gramEnd"/>
      <w:r>
        <w:rPr>
          <w:rFonts w:ascii="仿宋_GB2312" w:eastAsia="仿宋_GB2312" w:hAnsi="仿宋_GB2312" w:cs="仿宋_GB2312" w:hint="eastAsia"/>
          <w:sz w:val="28"/>
          <w:szCs w:val="28"/>
        </w:rPr>
        <w:t>湾街道解放村十一</w:t>
      </w:r>
      <w:proofErr w:type="gramStart"/>
      <w:r>
        <w:rPr>
          <w:rFonts w:ascii="仿宋_GB2312" w:eastAsia="仿宋_GB2312" w:hAnsi="仿宋_GB2312" w:cs="仿宋_GB2312" w:hint="eastAsia"/>
          <w:sz w:val="28"/>
          <w:szCs w:val="28"/>
        </w:rPr>
        <w:t>社磅苏附近</w:t>
      </w:r>
      <w:proofErr w:type="gramEnd"/>
      <w:r>
        <w:rPr>
          <w:rFonts w:ascii="仿宋_GB2312" w:eastAsia="仿宋_GB2312" w:hAnsi="仿宋_GB2312" w:cs="仿宋_GB2312" w:hint="eastAsia"/>
          <w:sz w:val="28"/>
          <w:szCs w:val="28"/>
        </w:rPr>
        <w:t>。合计治理岸线总长3143m，其中上游段治理岸线长1939m，下游段治理岸线长1204m。</w:t>
      </w:r>
    </w:p>
    <w:p w:rsidR="00025A1C" w:rsidRDefault="00025A1C" w:rsidP="00025A1C">
      <w:pPr>
        <w:adjustRightInd w:val="0"/>
        <w:snapToGrid w:val="0"/>
        <w:spacing w:line="540" w:lineRule="exact"/>
        <w:ind w:firstLineChars="200" w:firstLine="55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（一）上游段护岸工程</w:t>
      </w:r>
    </w:p>
    <w:p w:rsidR="00025A1C" w:rsidRDefault="00025A1C" w:rsidP="00025A1C">
      <w:pPr>
        <w:adjustRightInd w:val="0"/>
        <w:snapToGrid w:val="0"/>
        <w:spacing w:line="540" w:lineRule="exact"/>
        <w:ind w:firstLineChars="200" w:firstLine="55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上游段护岸工程岸线桩号YPS右0+000～YPS右0+060、YPS右0+280～YPS右0+344、YPS右0+481～YPS右0+575、YPS右1+040～YPS右1+087段护岸型式为镇脚+草皮护坡+堤顶道路；桩号YPS右0+060～YPS右0+280、</w:t>
      </w:r>
      <w:r>
        <w:rPr>
          <w:rFonts w:ascii="仿宋_GB2312" w:eastAsia="仿宋_GB2312" w:hAnsi="仿宋_GB2312" w:cs="仿宋_GB2312" w:hint="eastAsia"/>
          <w:sz w:val="28"/>
          <w:szCs w:val="28"/>
        </w:rPr>
        <w:lastRenderedPageBreak/>
        <w:t>YPS右0+575～YPS右0+638、YPS右0+711～YPS右1+040、YPS右1+087～YPS右1+363、YPS右1+615～YPS右1+939护岸型式为镇脚+草皮护坡+马道+草皮护坡+堤顶道路；YPS右0+638～YPS右0+711段护岸型式为镇脚+草皮护坡+马道+草皮护坡+马道+草皮护坡+堤顶道路；YPS右0+344～YPS右0+481、YPS右1+363～YPS右1+615段护岸型式为自然岸坡+堤顶道路。</w:t>
      </w:r>
    </w:p>
    <w:p w:rsidR="00025A1C" w:rsidRDefault="00025A1C" w:rsidP="00025A1C">
      <w:pPr>
        <w:adjustRightInd w:val="0"/>
        <w:snapToGrid w:val="0"/>
        <w:spacing w:line="540" w:lineRule="exact"/>
        <w:ind w:firstLineChars="200" w:firstLine="55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（二）下游段护岸工程</w:t>
      </w:r>
    </w:p>
    <w:p w:rsidR="00025A1C" w:rsidRDefault="00025A1C" w:rsidP="00025A1C">
      <w:pPr>
        <w:adjustRightInd w:val="0"/>
        <w:snapToGrid w:val="0"/>
        <w:spacing w:line="540" w:lineRule="exact"/>
        <w:ind w:firstLineChars="200" w:firstLine="55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下游段护岸工程桩号YPX左0+000～YPX左0+080段护岸型式为镇脚+草皮护坡+堤顶道路；桩号YPX左0+080～YPX左0+531、YPX右0+140～YPX右0+673段护岸型式为镇脚+草皮护坡+马道+草皮护坡+堤顶道路；YPX右0+000～YPX右0+112段护岸型式为镇脚+草皮护坡+马道+草皮护坡+马道+草皮护坡+堤顶道路；YPX右0+112～YPX右0+140段护岸型式为自然岸坡+堤顶道路；桩号YPX右0+453～YPX右0+464处有马</w:t>
      </w:r>
      <w:proofErr w:type="gramStart"/>
      <w:r>
        <w:rPr>
          <w:rFonts w:ascii="仿宋_GB2312" w:eastAsia="仿宋_GB2312" w:hAnsi="仿宋_GB2312" w:cs="仿宋_GB2312" w:hint="eastAsia"/>
          <w:sz w:val="28"/>
          <w:szCs w:val="28"/>
        </w:rPr>
        <w:t>坝坪沟改线</w:t>
      </w:r>
      <w:proofErr w:type="gramEnd"/>
      <w:r>
        <w:rPr>
          <w:rFonts w:ascii="仿宋_GB2312" w:eastAsia="仿宋_GB2312" w:hAnsi="仿宋_GB2312" w:cs="仿宋_GB2312" w:hint="eastAsia"/>
          <w:sz w:val="28"/>
          <w:szCs w:val="28"/>
        </w:rPr>
        <w:t>明渠汇入，汇入口与改线明渠护坡相接。</w:t>
      </w:r>
    </w:p>
    <w:p w:rsidR="00025A1C" w:rsidRDefault="00025A1C" w:rsidP="00025A1C">
      <w:pPr>
        <w:adjustRightInd w:val="0"/>
        <w:snapToGrid w:val="0"/>
        <w:spacing w:line="540" w:lineRule="exact"/>
        <w:ind w:firstLineChars="150" w:firstLine="41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（三）附属建筑物</w:t>
      </w:r>
    </w:p>
    <w:p w:rsidR="00025A1C" w:rsidRDefault="00025A1C" w:rsidP="00025A1C">
      <w:pPr>
        <w:adjustRightInd w:val="0"/>
        <w:snapToGrid w:val="0"/>
        <w:spacing w:line="540" w:lineRule="exact"/>
        <w:ind w:firstLineChars="150" w:firstLine="414"/>
        <w:rPr>
          <w:rFonts w:ascii="仿宋_GB2312" w:eastAsia="仿宋_GB2312" w:hAnsi="仿宋_GB2312" w:cs="仿宋_GB2312" w:hint="eastAsia"/>
          <w:sz w:val="28"/>
          <w:szCs w:val="28"/>
        </w:rPr>
      </w:pPr>
      <w:proofErr w:type="gramStart"/>
      <w:r>
        <w:rPr>
          <w:rFonts w:ascii="仿宋_GB2312" w:eastAsia="仿宋_GB2312" w:hAnsi="仿宋_GB2312" w:cs="仿宋_GB2312" w:hint="eastAsia"/>
          <w:sz w:val="28"/>
          <w:szCs w:val="28"/>
        </w:rPr>
        <w:t>设置穿</w:t>
      </w:r>
      <w:proofErr w:type="gramEnd"/>
      <w:r>
        <w:rPr>
          <w:rFonts w:ascii="仿宋_GB2312" w:eastAsia="仿宋_GB2312" w:hAnsi="仿宋_GB2312" w:cs="仿宋_GB2312" w:hint="eastAsia"/>
          <w:sz w:val="28"/>
          <w:szCs w:val="28"/>
        </w:rPr>
        <w:t>堤涵洞3处，新建下河梯道13处。</w:t>
      </w:r>
    </w:p>
    <w:p w:rsidR="00025A1C" w:rsidRDefault="00025A1C" w:rsidP="00025A1C">
      <w:pPr>
        <w:adjustRightInd w:val="0"/>
        <w:snapToGrid w:val="0"/>
        <w:spacing w:line="540" w:lineRule="exact"/>
        <w:ind w:firstLineChars="150" w:firstLine="415"/>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二、总体评价</w:t>
      </w:r>
    </w:p>
    <w:p w:rsidR="00025A1C" w:rsidRDefault="00025A1C" w:rsidP="00025A1C">
      <w:pPr>
        <w:adjustRightInd w:val="0"/>
        <w:snapToGrid w:val="0"/>
        <w:spacing w:line="540" w:lineRule="exact"/>
        <w:ind w:firstLineChars="150" w:firstLine="41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《报告》结构齐全、内容较为完整，技术路线基本可行，基本符合《重庆市建设项目水影响论证报告编制大纲(试行)》的要求。</w:t>
      </w:r>
    </w:p>
    <w:p w:rsidR="00025A1C" w:rsidRDefault="00025A1C" w:rsidP="00025A1C">
      <w:pPr>
        <w:adjustRightInd w:val="0"/>
        <w:snapToGrid w:val="0"/>
        <w:spacing w:line="540" w:lineRule="exact"/>
        <w:ind w:firstLineChars="150" w:firstLine="415"/>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三、防洪标准</w:t>
      </w:r>
    </w:p>
    <w:p w:rsidR="00025A1C" w:rsidRDefault="00025A1C" w:rsidP="00025A1C">
      <w:pPr>
        <w:adjustRightInd w:val="0"/>
        <w:snapToGrid w:val="0"/>
        <w:spacing w:line="540" w:lineRule="exact"/>
        <w:ind w:firstLineChars="150" w:firstLine="41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《报告》河道评价标准采用100年一遇</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护岸工程设计防洪标准采用50年一遇符合主城区防洪规划的要求。</w:t>
      </w:r>
    </w:p>
    <w:p w:rsidR="00025A1C" w:rsidRDefault="00025A1C" w:rsidP="00025A1C">
      <w:pPr>
        <w:adjustRightInd w:val="0"/>
        <w:snapToGrid w:val="0"/>
        <w:spacing w:line="540" w:lineRule="exact"/>
        <w:ind w:firstLineChars="150" w:firstLine="41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四、防洪影响</w:t>
      </w:r>
    </w:p>
    <w:p w:rsidR="00025A1C" w:rsidRDefault="00025A1C" w:rsidP="00025A1C">
      <w:pPr>
        <w:adjustRightInd w:val="0"/>
        <w:snapToGrid w:val="0"/>
        <w:spacing w:line="540" w:lineRule="exact"/>
        <w:ind w:firstLineChars="150" w:firstLine="41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《报告》设计洪水</w:t>
      </w:r>
      <w:proofErr w:type="gramStart"/>
      <w:r>
        <w:rPr>
          <w:rFonts w:ascii="仿宋_GB2312" w:eastAsia="仿宋_GB2312" w:hAnsi="仿宋_GB2312" w:cs="仿宋_GB2312" w:hint="eastAsia"/>
          <w:sz w:val="28"/>
          <w:szCs w:val="28"/>
        </w:rPr>
        <w:t>采用巴南气象站</w:t>
      </w:r>
      <w:proofErr w:type="gramEnd"/>
      <w:r>
        <w:rPr>
          <w:rFonts w:ascii="仿宋_GB2312" w:eastAsia="仿宋_GB2312" w:hAnsi="仿宋_GB2312" w:cs="仿宋_GB2312" w:hint="eastAsia"/>
          <w:sz w:val="28"/>
          <w:szCs w:val="28"/>
        </w:rPr>
        <w:t>暴雨资料推理公式法计算成果基本合</w:t>
      </w:r>
      <w:r>
        <w:rPr>
          <w:rFonts w:ascii="仿宋_GB2312" w:eastAsia="仿宋_GB2312" w:hAnsi="仿宋_GB2312" w:cs="仿宋_GB2312" w:hint="eastAsia"/>
          <w:sz w:val="28"/>
          <w:szCs w:val="28"/>
        </w:rPr>
        <w:lastRenderedPageBreak/>
        <w:t>理，采用一维水流数学模型推求工程河段水面线变化的方法可行，工程壅水量很小(对工程河道上游最大壅水高度为0.01m，壅水长度为拟建护岸工程上游207m)，项目实施后对</w:t>
      </w:r>
      <w:proofErr w:type="gramStart"/>
      <w:r>
        <w:rPr>
          <w:rFonts w:ascii="仿宋_GB2312" w:eastAsia="仿宋_GB2312" w:hAnsi="仿宋_GB2312" w:cs="仿宋_GB2312" w:hint="eastAsia"/>
          <w:sz w:val="28"/>
          <w:szCs w:val="28"/>
        </w:rPr>
        <w:t>一品河</w:t>
      </w:r>
      <w:proofErr w:type="gramEnd"/>
      <w:r>
        <w:rPr>
          <w:rFonts w:ascii="仿宋_GB2312" w:eastAsia="仿宋_GB2312" w:hAnsi="仿宋_GB2312" w:cs="仿宋_GB2312" w:hint="eastAsia"/>
          <w:sz w:val="28"/>
          <w:szCs w:val="28"/>
        </w:rPr>
        <w:t>行洪影响较小的评价结论基本恰当。</w:t>
      </w:r>
    </w:p>
    <w:p w:rsidR="00025A1C" w:rsidRDefault="00025A1C" w:rsidP="00025A1C">
      <w:pPr>
        <w:adjustRightInd w:val="0"/>
        <w:snapToGrid w:val="0"/>
        <w:spacing w:line="540" w:lineRule="exact"/>
        <w:ind w:firstLineChars="150" w:firstLine="415"/>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五、河势影响</w:t>
      </w:r>
    </w:p>
    <w:p w:rsidR="00025A1C" w:rsidRDefault="00025A1C" w:rsidP="00025A1C">
      <w:pPr>
        <w:adjustRightInd w:val="0"/>
        <w:snapToGrid w:val="0"/>
        <w:spacing w:line="540" w:lineRule="exact"/>
        <w:ind w:firstLineChars="150" w:firstLine="41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《报告》河势历史演变和近期演变分析，得出天然</w:t>
      </w:r>
      <w:proofErr w:type="gramStart"/>
      <w:r>
        <w:rPr>
          <w:rFonts w:ascii="仿宋_GB2312" w:eastAsia="仿宋_GB2312" w:hAnsi="仿宋_GB2312" w:cs="仿宋_GB2312" w:hint="eastAsia"/>
          <w:sz w:val="28"/>
          <w:szCs w:val="28"/>
        </w:rPr>
        <w:t>情况河势基本</w:t>
      </w:r>
      <w:proofErr w:type="gramEnd"/>
      <w:r>
        <w:rPr>
          <w:rFonts w:ascii="仿宋_GB2312" w:eastAsia="仿宋_GB2312" w:hAnsi="仿宋_GB2312" w:cs="仿宋_GB2312" w:hint="eastAsia"/>
          <w:sz w:val="28"/>
          <w:szCs w:val="28"/>
        </w:rPr>
        <w:t>保持稳定的结论基本符合实际。项目修建后引起局部流场的调整将导致项目局部河床产生一定的冲淤变化，但范围有限，</w:t>
      </w:r>
      <w:proofErr w:type="gramStart"/>
      <w:r>
        <w:rPr>
          <w:rFonts w:ascii="仿宋_GB2312" w:eastAsia="仿宋_GB2312" w:hAnsi="仿宋_GB2312" w:cs="仿宋_GB2312" w:hint="eastAsia"/>
          <w:sz w:val="28"/>
          <w:szCs w:val="28"/>
        </w:rPr>
        <w:t>总体河势保持</w:t>
      </w:r>
      <w:proofErr w:type="gramEnd"/>
      <w:r>
        <w:rPr>
          <w:rFonts w:ascii="仿宋_GB2312" w:eastAsia="仿宋_GB2312" w:hAnsi="仿宋_GB2312" w:cs="仿宋_GB2312" w:hint="eastAsia"/>
          <w:sz w:val="28"/>
          <w:szCs w:val="28"/>
        </w:rPr>
        <w:t>基本稳定的评价结论基本恰当。</w:t>
      </w:r>
    </w:p>
    <w:p w:rsidR="00025A1C" w:rsidRDefault="00025A1C" w:rsidP="00025A1C">
      <w:pPr>
        <w:adjustRightInd w:val="0"/>
        <w:snapToGrid w:val="0"/>
        <w:spacing w:line="540" w:lineRule="exact"/>
        <w:ind w:firstLineChars="150" w:firstLine="415"/>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六、第三者权益影响</w:t>
      </w:r>
    </w:p>
    <w:p w:rsidR="00025A1C" w:rsidRDefault="00025A1C" w:rsidP="00025A1C">
      <w:pPr>
        <w:adjustRightInd w:val="0"/>
        <w:snapToGrid w:val="0"/>
        <w:spacing w:line="540" w:lineRule="exact"/>
        <w:ind w:firstLineChars="150" w:firstLine="41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《报告》本项目实施对永胜人行桥、墩子堡人行桥、</w:t>
      </w:r>
      <w:proofErr w:type="gramStart"/>
      <w:r>
        <w:rPr>
          <w:rFonts w:ascii="仿宋_GB2312" w:eastAsia="仿宋_GB2312" w:hAnsi="仿宋_GB2312" w:cs="仿宋_GB2312" w:hint="eastAsia"/>
          <w:sz w:val="28"/>
          <w:szCs w:val="28"/>
        </w:rPr>
        <w:t>箭滩桥</w:t>
      </w:r>
      <w:proofErr w:type="gramEnd"/>
      <w:r>
        <w:rPr>
          <w:rFonts w:ascii="仿宋_GB2312" w:eastAsia="仿宋_GB2312" w:hAnsi="仿宋_GB2312" w:cs="仿宋_GB2312" w:hint="eastAsia"/>
          <w:sz w:val="28"/>
          <w:szCs w:val="28"/>
        </w:rPr>
        <w:t>等现有涉河工程，以及规划建设的巴南区一品河（沿河村段）防洪护岸综合治理工程、滨河路、横十二路桥等第三者合法水事权益不产生明显不利影响的评价结论基本恰当。</w:t>
      </w:r>
    </w:p>
    <w:p w:rsidR="00025A1C" w:rsidRDefault="00025A1C" w:rsidP="00025A1C">
      <w:pPr>
        <w:adjustRightInd w:val="0"/>
        <w:snapToGrid w:val="0"/>
        <w:spacing w:line="540" w:lineRule="exact"/>
        <w:ind w:firstLineChars="150" w:firstLine="415"/>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七、建议</w:t>
      </w:r>
    </w:p>
    <w:p w:rsidR="00025A1C" w:rsidRDefault="00025A1C" w:rsidP="00025A1C">
      <w:pPr>
        <w:adjustRightInd w:val="0"/>
        <w:snapToGrid w:val="0"/>
        <w:spacing w:line="540" w:lineRule="exact"/>
        <w:ind w:firstLineChars="150" w:firstLine="41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下阶段设计从规划街接、</w:t>
      </w:r>
      <w:proofErr w:type="gramStart"/>
      <w:r>
        <w:rPr>
          <w:rFonts w:ascii="仿宋_GB2312" w:eastAsia="仿宋_GB2312" w:hAnsi="仿宋_GB2312" w:cs="仿宋_GB2312" w:hint="eastAsia"/>
          <w:sz w:val="28"/>
          <w:szCs w:val="28"/>
        </w:rPr>
        <w:t>堤脚防冲</w:t>
      </w:r>
      <w:proofErr w:type="gramEnd"/>
      <w:r>
        <w:rPr>
          <w:rFonts w:ascii="仿宋_GB2312" w:eastAsia="仿宋_GB2312" w:hAnsi="仿宋_GB2312" w:cs="仿宋_GB2312" w:hint="eastAsia"/>
          <w:sz w:val="28"/>
          <w:szCs w:val="28"/>
        </w:rPr>
        <w:t>、增大行洪断面等方面进一步优化建设方案。</w:t>
      </w:r>
    </w:p>
    <w:p w:rsidR="00025A1C" w:rsidRDefault="00025A1C" w:rsidP="00025A1C">
      <w:pPr>
        <w:spacing w:line="540" w:lineRule="exact"/>
        <w:rPr>
          <w:sz w:val="24"/>
        </w:rPr>
      </w:pPr>
    </w:p>
    <w:p w:rsidR="00025A1C" w:rsidRDefault="00025A1C" w:rsidP="00025A1C">
      <w:pPr>
        <w:spacing w:line="540" w:lineRule="exact"/>
        <w:jc w:val="right"/>
        <w:rPr>
          <w:sz w:val="28"/>
          <w:szCs w:val="28"/>
        </w:rPr>
      </w:pPr>
      <w:r>
        <w:rPr>
          <w:sz w:val="28"/>
          <w:szCs w:val="28"/>
        </w:rPr>
        <w:t xml:space="preserve">   </w:t>
      </w:r>
      <w:r>
        <w:rPr>
          <w:rFonts w:hint="eastAsia"/>
          <w:sz w:val="28"/>
          <w:szCs w:val="28"/>
        </w:rPr>
        <w:t>专家</w:t>
      </w:r>
      <w:r>
        <w:rPr>
          <w:sz w:val="28"/>
          <w:szCs w:val="28"/>
        </w:rPr>
        <w:t>组长</w:t>
      </w:r>
      <w:r>
        <w:rPr>
          <w:rFonts w:hint="eastAsia"/>
          <w:sz w:val="28"/>
          <w:szCs w:val="28"/>
        </w:rPr>
        <w:t>：</w:t>
      </w:r>
      <w:r>
        <w:rPr>
          <w:noProof/>
          <w:sz w:val="36"/>
          <w:szCs w:val="28"/>
        </w:rPr>
        <w:drawing>
          <wp:inline distT="0" distB="0" distL="0" distR="0">
            <wp:extent cx="904875" cy="4572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a:srcRect/>
                    <a:stretch>
                      <a:fillRect/>
                    </a:stretch>
                  </pic:blipFill>
                  <pic:spPr bwMode="auto">
                    <a:xfrm>
                      <a:off x="0" y="0"/>
                      <a:ext cx="904875" cy="457200"/>
                    </a:xfrm>
                    <a:prstGeom prst="rect">
                      <a:avLst/>
                    </a:prstGeom>
                    <a:noFill/>
                    <a:ln w="9525" cmpd="sng">
                      <a:noFill/>
                      <a:miter lim="800000"/>
                      <a:headEnd/>
                      <a:tailEnd/>
                    </a:ln>
                  </pic:spPr>
                </pic:pic>
              </a:graphicData>
            </a:graphic>
          </wp:inline>
        </w:drawing>
      </w:r>
    </w:p>
    <w:p w:rsidR="00025A1C" w:rsidRDefault="00025A1C" w:rsidP="00025A1C">
      <w:pPr>
        <w:spacing w:line="540" w:lineRule="exact"/>
        <w:ind w:leftChars="300" w:left="6820" w:hangingChars="1650" w:hanging="5872"/>
        <w:rPr>
          <w:rFonts w:hint="eastAsia"/>
        </w:rPr>
      </w:pPr>
      <w:r>
        <w:rPr>
          <w:rFonts w:hint="eastAsia"/>
          <w:sz w:val="36"/>
          <w:szCs w:val="28"/>
        </w:rPr>
        <w:t xml:space="preserve">                            </w:t>
      </w:r>
      <w:r>
        <w:rPr>
          <w:rFonts w:hint="eastAsia"/>
          <w:sz w:val="28"/>
          <w:szCs w:val="22"/>
        </w:rPr>
        <w:t xml:space="preserve">  </w:t>
      </w:r>
      <w:r>
        <w:rPr>
          <w:sz w:val="28"/>
          <w:szCs w:val="22"/>
          <w:lang/>
        </w:rPr>
        <w:t>2023</w:t>
      </w:r>
      <w:r>
        <w:rPr>
          <w:rFonts w:hint="eastAsia"/>
          <w:sz w:val="22"/>
          <w:szCs w:val="22"/>
        </w:rPr>
        <w:t xml:space="preserve"> </w:t>
      </w:r>
      <w:r>
        <w:rPr>
          <w:rFonts w:hint="eastAsia"/>
          <w:sz w:val="28"/>
          <w:szCs w:val="28"/>
        </w:rPr>
        <w:t>年</w:t>
      </w:r>
      <w:r>
        <w:rPr>
          <w:rFonts w:hint="eastAsia"/>
          <w:sz w:val="28"/>
          <w:szCs w:val="28"/>
        </w:rPr>
        <w:t xml:space="preserve"> </w:t>
      </w:r>
      <w:r>
        <w:rPr>
          <w:sz w:val="28"/>
          <w:szCs w:val="28"/>
          <w:lang/>
        </w:rPr>
        <w:t>9</w:t>
      </w:r>
      <w:r>
        <w:rPr>
          <w:rFonts w:hint="eastAsia"/>
          <w:sz w:val="28"/>
          <w:szCs w:val="28"/>
        </w:rPr>
        <w:t xml:space="preserve"> </w:t>
      </w:r>
      <w:r>
        <w:rPr>
          <w:rFonts w:hint="eastAsia"/>
          <w:sz w:val="28"/>
          <w:szCs w:val="28"/>
        </w:rPr>
        <w:t>月</w:t>
      </w:r>
      <w:r>
        <w:rPr>
          <w:rFonts w:hint="eastAsia"/>
          <w:sz w:val="28"/>
          <w:szCs w:val="28"/>
        </w:rPr>
        <w:t xml:space="preserve"> 26 </w:t>
      </w:r>
      <w:r>
        <w:rPr>
          <w:rFonts w:hint="eastAsia"/>
          <w:sz w:val="28"/>
          <w:szCs w:val="28"/>
        </w:rPr>
        <w:t>日</w:t>
      </w:r>
    </w:p>
    <w:p w:rsidR="006614CC" w:rsidRDefault="006614CC"/>
    <w:sectPr w:rsidR="006614CC">
      <w:footerReference w:type="even" r:id="rId5"/>
      <w:footerReference w:type="default" r:id="rId6"/>
      <w:pgSz w:w="11906" w:h="16838"/>
      <w:pgMar w:top="2098" w:right="1531" w:bottom="1985" w:left="1531" w:header="851" w:footer="1474" w:gutter="0"/>
      <w:cols w:space="720"/>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5A1C">
    <w:pPr>
      <w:pStyle w:val="a4"/>
      <w:framePr w:wrap="around" w:vAnchor="text" w:hAnchor="margin" w:xAlign="outside" w:y="1"/>
      <w:rPr>
        <w:rStyle w:val="a3"/>
      </w:rPr>
    </w:pPr>
    <w:r>
      <w:fldChar w:fldCharType="begin"/>
    </w:r>
    <w:r>
      <w:rPr>
        <w:rStyle w:val="a3"/>
      </w:rPr>
      <w:instrText xml:space="preserve">PAGE  </w:instrText>
    </w:r>
    <w:r>
      <w:fldChar w:fldCharType="separate"/>
    </w:r>
    <w:r>
      <w:fldChar w:fldCharType="end"/>
    </w:r>
  </w:p>
  <w:p w:rsidR="00000000" w:rsidRDefault="00025A1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5A1C">
    <w:pPr>
      <w:pStyle w:val="a4"/>
      <w:framePr w:wrap="around" w:vAnchor="text" w:hAnchor="margin" w:xAlign="outside" w:y="1"/>
      <w:wordWrap w:val="0"/>
      <w:ind w:leftChars="100" w:left="320" w:rightChars="100" w:right="320"/>
      <w:jc w:val="right"/>
      <w:rPr>
        <w:rStyle w:val="a3"/>
        <w:rFonts w:hint="eastAsia"/>
      </w:rPr>
    </w:pPr>
    <w:r>
      <w:rPr>
        <w:rStyle w:val="a3"/>
        <w:rFonts w:hint="eastAsia"/>
      </w:rPr>
      <w:t>—</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1</w:t>
    </w:r>
    <w:r>
      <w:rPr>
        <w:sz w:val="28"/>
        <w:szCs w:val="28"/>
      </w:rPr>
      <w:fldChar w:fldCharType="end"/>
    </w:r>
    <w:r>
      <w:rPr>
        <w:rStyle w:val="a3"/>
        <w:rFonts w:hint="eastAsia"/>
      </w:rPr>
      <w:t>—</w:t>
    </w:r>
  </w:p>
  <w:p w:rsidR="00000000" w:rsidRDefault="00025A1C">
    <w:pPr>
      <w:pStyle w:val="a4"/>
      <w:ind w:right="360"/>
      <w:rPr>
        <w:rFonts w:hint="eastAsia"/>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5A1C"/>
    <w:rsid w:val="00025A1C"/>
    <w:rsid w:val="006614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A1C"/>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25A1C"/>
  </w:style>
  <w:style w:type="paragraph" w:styleId="a4">
    <w:name w:val="footer"/>
    <w:basedOn w:val="a"/>
    <w:link w:val="Char"/>
    <w:rsid w:val="00025A1C"/>
    <w:pPr>
      <w:tabs>
        <w:tab w:val="center" w:pos="4153"/>
        <w:tab w:val="right" w:pos="8306"/>
      </w:tabs>
      <w:snapToGrid w:val="0"/>
      <w:jc w:val="left"/>
    </w:pPr>
    <w:rPr>
      <w:sz w:val="18"/>
      <w:szCs w:val="18"/>
    </w:rPr>
  </w:style>
  <w:style w:type="character" w:customStyle="1" w:styleId="Char">
    <w:name w:val="页脚 Char"/>
    <w:basedOn w:val="a0"/>
    <w:link w:val="a4"/>
    <w:rsid w:val="00025A1C"/>
    <w:rPr>
      <w:rFonts w:ascii="Times New Roman" w:eastAsia="方正仿宋_GBK" w:hAnsi="Times New Roman" w:cs="Times New Roman"/>
      <w:sz w:val="18"/>
      <w:szCs w:val="18"/>
    </w:rPr>
  </w:style>
  <w:style w:type="paragraph" w:styleId="a5">
    <w:name w:val="Balloon Text"/>
    <w:basedOn w:val="a"/>
    <w:link w:val="Char0"/>
    <w:uiPriority w:val="99"/>
    <w:semiHidden/>
    <w:unhideWhenUsed/>
    <w:rsid w:val="00025A1C"/>
    <w:rPr>
      <w:sz w:val="18"/>
      <w:szCs w:val="18"/>
    </w:rPr>
  </w:style>
  <w:style w:type="character" w:customStyle="1" w:styleId="Char0">
    <w:name w:val="批注框文本 Char"/>
    <w:basedOn w:val="a0"/>
    <w:link w:val="a5"/>
    <w:uiPriority w:val="99"/>
    <w:semiHidden/>
    <w:rsid w:val="00025A1C"/>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1425</Characters>
  <Application>Microsoft Office Word</Application>
  <DocSecurity>0</DocSecurity>
  <Lines>11</Lines>
  <Paragraphs>3</Paragraphs>
  <ScaleCrop>false</ScaleCrop>
  <Company>微软中国</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2023-11-10T09:25:00Z</dcterms:created>
  <dcterms:modified xsi:type="dcterms:W3CDTF">2023-11-10T09:25:00Z</dcterms:modified>
</cp:coreProperties>
</file>