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重庆市巴南区生态环境局审查建设项目环评信息公示表（一品河清水绿岸治理提升项目（圣灯山镇污水厂））</w:t>
      </w:r>
    </w:p>
    <w:p>
      <w:pPr>
        <w:spacing w:line="100" w:lineRule="exact"/>
        <w:jc w:val="center"/>
        <w:rPr>
          <w:rFonts w:hint="eastAsia" w:ascii="方正小标宋_GBK" w:hAnsi="方正小标宋_GBK" w:eastAsia="方正小标宋_GBK" w:cs="方正小标宋_GBK"/>
          <w:sz w:val="18"/>
          <w:szCs w:val="18"/>
        </w:rPr>
      </w:pPr>
    </w:p>
    <w:p>
      <w:pPr>
        <w:spacing w:line="3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eastAsia="方正仿宋_GBK"/>
          <w:kern w:val="0"/>
          <w:sz w:val="24"/>
          <w:szCs w:val="24"/>
        </w:rPr>
        <w:t>重庆市巴南区生态环境局审查以下建设项目环评文件，现公告有关环评信息，接受社会监督，公示期为自公示之日起5个工作日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  <w:r>
        <w:rPr>
          <w:rFonts w:hint="eastAsia" w:ascii="方正仿宋_GBK" w:eastAsia="方正仿宋_GBK"/>
          <w:kern w:val="0"/>
          <w:sz w:val="24"/>
          <w:szCs w:val="24"/>
        </w:rPr>
        <w:t>环评文件查询方式：</w:t>
      </w:r>
      <w:r>
        <w:rPr>
          <w:rFonts w:ascii="方正仿宋_GBK" w:eastAsia="方正仿宋_GBK"/>
          <w:kern w:val="0"/>
          <w:sz w:val="24"/>
          <w:szCs w:val="24"/>
        </w:rPr>
        <w:fldChar w:fldCharType="begin"/>
      </w:r>
      <w:r>
        <w:rPr>
          <w:rFonts w:ascii="方正仿宋_GBK" w:eastAsia="方正仿宋_GBK"/>
          <w:kern w:val="0"/>
          <w:sz w:val="24"/>
          <w:szCs w:val="24"/>
        </w:rPr>
        <w:instrText xml:space="preserve"> HYPERLINK "</w:instrText>
      </w:r>
      <w:r>
        <w:rPr>
          <w:rFonts w:hint="eastAsia" w:ascii="方正仿宋_GBK" w:eastAsia="方正仿宋_GBK"/>
          <w:kern w:val="0"/>
          <w:sz w:val="24"/>
          <w:szCs w:val="24"/>
        </w:rPr>
        <w:instrText xml:space="preserve">http://www.cqbn.gov.cn</w:instrText>
      </w:r>
      <w:r>
        <w:rPr>
          <w:rFonts w:ascii="方正仿宋_GBK" w:eastAsia="方正仿宋_GBK"/>
          <w:kern w:val="0"/>
          <w:sz w:val="24"/>
          <w:szCs w:val="24"/>
        </w:rPr>
        <w:instrText xml:space="preserve">" </w:instrText>
      </w:r>
      <w:r>
        <w:rPr>
          <w:rFonts w:ascii="方正仿宋_GBK" w:eastAsia="方正仿宋_GBK"/>
          <w:kern w:val="0"/>
          <w:sz w:val="24"/>
          <w:szCs w:val="24"/>
        </w:rPr>
        <w:fldChar w:fldCharType="separate"/>
      </w:r>
      <w:r>
        <w:rPr>
          <w:rStyle w:val="10"/>
          <w:rFonts w:hint="eastAsia" w:ascii="方正仿宋_GBK" w:eastAsia="方正仿宋_GBK"/>
          <w:kern w:val="0"/>
          <w:sz w:val="24"/>
          <w:szCs w:val="24"/>
        </w:rPr>
        <w:t>http://www.cqbn.gov.cn</w:t>
      </w:r>
      <w:r>
        <w:rPr>
          <w:rFonts w:ascii="方正仿宋_GBK" w:eastAsia="方正仿宋_GBK"/>
          <w:kern w:val="0"/>
          <w:sz w:val="24"/>
          <w:szCs w:val="24"/>
        </w:rPr>
        <w:fldChar w:fldCharType="end"/>
      </w:r>
      <w:r>
        <w:rPr>
          <w:rFonts w:hint="eastAsia" w:ascii="方正仿宋_GBK" w:eastAsia="方正仿宋_GBK"/>
          <w:kern w:val="0"/>
          <w:sz w:val="24"/>
          <w:szCs w:val="24"/>
        </w:rPr>
        <w:t>。反馈意见受理方式为电子邮箱：</w:t>
      </w:r>
      <w:r>
        <w:rPr>
          <w:rFonts w:ascii="方正仿宋_GBK" w:eastAsia="方正仿宋_GBK"/>
          <w:kern w:val="0"/>
          <w:sz w:val="24"/>
          <w:szCs w:val="24"/>
        </w:rPr>
        <w:fldChar w:fldCharType="begin"/>
      </w:r>
      <w:r>
        <w:rPr>
          <w:rFonts w:ascii="方正仿宋_GBK" w:eastAsia="方正仿宋_GBK"/>
          <w:kern w:val="0"/>
          <w:sz w:val="24"/>
          <w:szCs w:val="24"/>
        </w:rPr>
        <w:instrText xml:space="preserve"> HYPERLINK "mailto:</w:instrText>
      </w:r>
      <w:r>
        <w:rPr>
          <w:rFonts w:hint="eastAsia" w:ascii="方正仿宋_GBK" w:eastAsia="方正仿宋_GBK"/>
          <w:kern w:val="0"/>
          <w:sz w:val="24"/>
          <w:szCs w:val="24"/>
        </w:rPr>
        <w:instrText xml:space="preserve">bnqcmb@163.com</w:instrText>
      </w:r>
      <w:r>
        <w:rPr>
          <w:rFonts w:ascii="方正仿宋_GBK" w:eastAsia="方正仿宋_GBK"/>
          <w:kern w:val="0"/>
          <w:sz w:val="24"/>
          <w:szCs w:val="24"/>
        </w:rPr>
        <w:instrText xml:space="preserve">" </w:instrText>
      </w:r>
      <w:r>
        <w:rPr>
          <w:rFonts w:ascii="方正仿宋_GBK" w:eastAsia="方正仿宋_GBK"/>
          <w:kern w:val="0"/>
          <w:sz w:val="24"/>
          <w:szCs w:val="24"/>
        </w:rPr>
        <w:fldChar w:fldCharType="separate"/>
      </w:r>
      <w:r>
        <w:rPr>
          <w:rStyle w:val="10"/>
          <w:rFonts w:hint="eastAsia" w:ascii="方正仿宋_GBK" w:eastAsia="方正仿宋_GBK"/>
          <w:kern w:val="0"/>
          <w:sz w:val="24"/>
          <w:szCs w:val="24"/>
        </w:rPr>
        <w:t>bnqcmb@163.com</w:t>
      </w:r>
      <w:r>
        <w:rPr>
          <w:rFonts w:ascii="方正仿宋_GBK" w:eastAsia="方正仿宋_GBK"/>
          <w:kern w:val="0"/>
          <w:sz w:val="24"/>
          <w:szCs w:val="24"/>
        </w:rPr>
        <w:fldChar w:fldCharType="end"/>
      </w:r>
      <w:r>
        <w:rPr>
          <w:rFonts w:hint="eastAsia" w:ascii="方正仿宋_GBK" w:eastAsia="方正仿宋_GBK"/>
          <w:kern w:val="0"/>
          <w:sz w:val="24"/>
          <w:szCs w:val="24"/>
        </w:rPr>
        <w:t>。通讯地址：重庆市巴南区龙洲湾街道龙洲湾公园北路12号巴南区政务服务中心二楼D区，邮编：400055。申请人和利害关系人可自公示起5个工作日内以书面形式向我局提出听证申请。</w:t>
      </w:r>
    </w:p>
    <w:tbl>
      <w:tblPr>
        <w:tblStyle w:val="11"/>
        <w:tblW w:w="1594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98"/>
        <w:gridCol w:w="1350"/>
        <w:gridCol w:w="1091"/>
        <w:gridCol w:w="1120"/>
        <w:gridCol w:w="2310"/>
        <w:gridCol w:w="6615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567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9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建设地点</w:t>
            </w:r>
          </w:p>
        </w:tc>
        <w:tc>
          <w:tcPr>
            <w:tcW w:w="1091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建设单位</w:t>
            </w:r>
          </w:p>
        </w:tc>
        <w:tc>
          <w:tcPr>
            <w:tcW w:w="1120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环境影响评价机构</w:t>
            </w:r>
          </w:p>
        </w:tc>
        <w:tc>
          <w:tcPr>
            <w:tcW w:w="23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项目概况</w:t>
            </w:r>
          </w:p>
        </w:tc>
        <w:tc>
          <w:tcPr>
            <w:tcW w:w="661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主要环境影响和环境保护对策与措施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相关部门意见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>1</w:t>
            </w:r>
          </w:p>
        </w:tc>
        <w:tc>
          <w:tcPr>
            <w:tcW w:w="1198" w:type="dxa"/>
            <w:vAlign w:val="center"/>
          </w:tcPr>
          <w:p>
            <w:pPr>
              <w:spacing w:line="260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一品河清水绿岸治理提升项目（圣灯山镇污水厂）</w:t>
            </w:r>
          </w:p>
        </w:tc>
        <w:tc>
          <w:tcPr>
            <w:tcW w:w="13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重庆市巴南区圣灯山镇跳石片区地块A01-1/03</w:t>
            </w:r>
          </w:p>
        </w:tc>
        <w:tc>
          <w:tcPr>
            <w:tcW w:w="1091" w:type="dxa"/>
            <w:vAlign w:val="center"/>
          </w:tcPr>
          <w:p>
            <w:pPr>
              <w:spacing w:line="260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重庆德润壹品环境治理有限公司</w:t>
            </w:r>
          </w:p>
        </w:tc>
        <w:tc>
          <w:tcPr>
            <w:tcW w:w="1120" w:type="dxa"/>
            <w:vAlign w:val="center"/>
          </w:tcPr>
          <w:p>
            <w:pPr>
              <w:spacing w:line="260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重庆宝仑环保科技有限公司</w:t>
            </w:r>
          </w:p>
        </w:tc>
        <w:tc>
          <w:tcPr>
            <w:tcW w:w="2310" w:type="dxa"/>
            <w:vAlign w:val="center"/>
          </w:tcPr>
          <w:p>
            <w:pPr>
              <w:spacing w:line="260" w:lineRule="exact"/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本项目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在原圣灯山污水处理厂原址扩建至生活污水处理规模为1000立方米/天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改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建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预处理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组合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池、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新建调节池、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生物组合池、深度处理组合池、除臭设备、污泥脱水车间、加药加氯间、出水仪表间、储泥池、配电间、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</w:rPr>
              <w:t>电气、自控仪表工程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总投资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520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万元，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均纳入环保工程投资。</w:t>
            </w:r>
          </w:p>
        </w:tc>
        <w:tc>
          <w:tcPr>
            <w:tcW w:w="6615" w:type="dxa"/>
            <w:vAlign w:val="center"/>
          </w:tcPr>
          <w:p>
            <w:pPr>
              <w:spacing w:line="260" w:lineRule="exact"/>
              <w:rPr>
                <w:rFonts w:ascii="黑体" w:hAnsi="黑体" w:eastAsia="黑体" w:cs="方正仿宋_GBK"/>
                <w:color w:val="000000"/>
                <w:szCs w:val="21"/>
              </w:rPr>
            </w:pPr>
            <w:r>
              <w:rPr>
                <w:rFonts w:hint="eastAsia" w:ascii="黑体" w:hAnsi="黑体" w:eastAsia="黑体" w:cs="方正仿宋_GBK"/>
                <w:color w:val="000000"/>
                <w:szCs w:val="21"/>
              </w:rPr>
              <w:t>一、</w:t>
            </w:r>
            <w:r>
              <w:rPr>
                <w:rFonts w:ascii="黑体" w:hAnsi="黑体" w:eastAsia="黑体" w:cs="方正仿宋_GBK"/>
                <w:color w:val="000000"/>
                <w:szCs w:val="21"/>
              </w:rPr>
              <w:t>施工期环境</w:t>
            </w:r>
            <w:r>
              <w:rPr>
                <w:rFonts w:hint="eastAsia" w:ascii="黑体" w:hAnsi="黑体" w:eastAsia="黑体" w:cs="方正仿宋_GBK"/>
                <w:color w:val="000000"/>
                <w:szCs w:val="21"/>
              </w:rPr>
              <w:t>影响和</w:t>
            </w:r>
            <w:r>
              <w:rPr>
                <w:rFonts w:ascii="黑体" w:hAnsi="黑体" w:eastAsia="黑体" w:cs="方正仿宋_GBK"/>
                <w:color w:val="000000"/>
                <w:szCs w:val="21"/>
              </w:rPr>
              <w:t>措施</w:t>
            </w:r>
          </w:p>
          <w:p>
            <w:pPr>
              <w:spacing w:line="260" w:lineRule="exact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（一）废水：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①施工期施工人员生活污水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经一体化污水处理设施（临时处理设施）处理达标排放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。②施工场地设置临时沉淀池，四周设排水沟，将施工中混凝土养护、车辆、施工机械冲洗等废水收集至沉淀池，沉淀后回用，不外排。③严格实施废水回用，严禁施工期废水外排。经上述措施控制和处理后，施工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期产生的废水对环境影响小。</w:t>
            </w:r>
          </w:p>
          <w:p>
            <w:pPr>
              <w:spacing w:line="260" w:lineRule="exact"/>
              <w:rPr>
                <w:rFonts w:hint="eastAsia" w:ascii="Times New Roman" w:hAnsi="Times New Roman"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（二）废气：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严格控制施工扬尘污染，减少对环境的影响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  <w:lang w:eastAsia="zh-CN"/>
              </w:rPr>
              <w:t>。</w:t>
            </w:r>
          </w:p>
          <w:p>
            <w:pPr>
              <w:spacing w:line="260" w:lineRule="exact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（三）噪声：施工单位满足施工需要的前提下，选取噪声低、振动小、能耗小的先进设备；注意机械保养，使机械保持最低声级水平。采取有效措施使拟建项目施工期对声环境的影响减少到最低程度。</w:t>
            </w:r>
          </w:p>
          <w:p>
            <w:pPr>
              <w:numPr>
                <w:ilvl w:val="0"/>
                <w:numId w:val="1"/>
              </w:numPr>
              <w:spacing w:line="260" w:lineRule="exac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固废：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施工期固体废弃物主要为建筑垃圾及施工人员生活垃圾。建筑垃圾收集后外运至政府部门指定渣场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施工人员生活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规范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收集后由环卫部门清运处理。</w:t>
            </w:r>
          </w:p>
          <w:p>
            <w:pPr>
              <w:spacing w:line="260" w:lineRule="exact"/>
              <w:rPr>
                <w:rFonts w:hint="eastAsia" w:ascii="黑体" w:hAnsi="黑体" w:eastAsia="黑体" w:cs="方正仿宋_GBK"/>
                <w:color w:val="000000"/>
                <w:szCs w:val="21"/>
              </w:rPr>
            </w:pPr>
            <w:r>
              <w:rPr>
                <w:rFonts w:hint="eastAsia" w:ascii="黑体" w:hAnsi="黑体" w:eastAsia="黑体" w:cs="方正仿宋_GBK"/>
                <w:color w:val="000000"/>
                <w:szCs w:val="21"/>
              </w:rPr>
              <w:t>二、运营期环境影响和措施</w:t>
            </w:r>
          </w:p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(一)废气：臭气：厂区内设置密闭加盖和生物除臭设施，通过1根15m高排气筒（DA001）排放。</w:t>
            </w:r>
          </w:p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（二）废水：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污水厂收集的废水经处理后达到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《城镇污水处理厂污染物排放标准》（GB18918-2002）一级A标准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排入跳石河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60" w:lineRule="exac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（三）噪声：选用低噪声设备，合理布局噪声源，并采取隔声、消声等措施。</w:t>
            </w:r>
          </w:p>
          <w:p>
            <w:pPr>
              <w:spacing w:line="260" w:lineRule="exact"/>
              <w:rPr>
                <w:rFonts w:hint="eastAsia" w:ascii="方正仿宋_GBK" w:hAnsi="方正仿宋_GBK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（四）固废：依托现有一般固废暂存间进行暂存，采取防风、防雨、防晒措施，并设置标识标牌，主要用于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栅渣、沉砂和剩余淤泥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等一般工业固体废物的存放；依托现有危废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贮存点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进行暂存，设置托盘，并设置标识标牌。</w:t>
            </w:r>
          </w:p>
        </w:tc>
        <w:tc>
          <w:tcPr>
            <w:tcW w:w="1691" w:type="dxa"/>
            <w:vAlign w:val="center"/>
          </w:tcPr>
          <w:p>
            <w:pPr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重庆市巴南区发展和改革委员会立项批复：2018-500113-77-01-057807</w:t>
            </w:r>
          </w:p>
        </w:tc>
      </w:tr>
    </w:tbl>
    <w:p>
      <w:pPr>
        <w:spacing w:line="520" w:lineRule="exact"/>
        <w:rPr>
          <w:rFonts w:hint="eastAsia" w:ascii="方正仿宋_GBK" w:hAnsi="方正仿宋_GBK" w:eastAsia="方正仿宋_GBK" w:cs="方正仿宋_GBK"/>
          <w:szCs w:val="21"/>
        </w:rPr>
      </w:pPr>
    </w:p>
    <w:sectPr>
      <w:pgSz w:w="16838" w:h="11906" w:orient="landscape"/>
      <w:pgMar w:top="851" w:right="1418" w:bottom="567" w:left="1418" w:header="851" w:footer="992" w:gutter="0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Dutch801 Rm BT">
    <w:altName w:val="Times New Roman"/>
    <w:panose1 w:val="02020603060505020304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1DAD6"/>
    <w:multiLevelType w:val="singleLevel"/>
    <w:tmpl w:val="7BB1DAD6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NDVmNjQyYjMyYjFhMjBkNWUxOWQ5ZDQxNzUwNGEifQ=="/>
  </w:docVars>
  <w:rsids>
    <w:rsidRoot w:val="00172A27"/>
    <w:rsid w:val="000400AD"/>
    <w:rsid w:val="00062018"/>
    <w:rsid w:val="00097251"/>
    <w:rsid w:val="000972B0"/>
    <w:rsid w:val="000B0DA2"/>
    <w:rsid w:val="000E7EF5"/>
    <w:rsid w:val="0011158F"/>
    <w:rsid w:val="00115A40"/>
    <w:rsid w:val="00117FBD"/>
    <w:rsid w:val="00157DEA"/>
    <w:rsid w:val="00157E06"/>
    <w:rsid w:val="0017014E"/>
    <w:rsid w:val="001812CC"/>
    <w:rsid w:val="0018439C"/>
    <w:rsid w:val="00194F99"/>
    <w:rsid w:val="001A3910"/>
    <w:rsid w:val="001A3BE6"/>
    <w:rsid w:val="001B4D76"/>
    <w:rsid w:val="001D1982"/>
    <w:rsid w:val="001E07CF"/>
    <w:rsid w:val="00202F16"/>
    <w:rsid w:val="002038CD"/>
    <w:rsid w:val="00211FF5"/>
    <w:rsid w:val="002258AE"/>
    <w:rsid w:val="00237845"/>
    <w:rsid w:val="002772BC"/>
    <w:rsid w:val="0028778F"/>
    <w:rsid w:val="002C1DFE"/>
    <w:rsid w:val="002C3400"/>
    <w:rsid w:val="002D4548"/>
    <w:rsid w:val="002E2732"/>
    <w:rsid w:val="003335ED"/>
    <w:rsid w:val="00345E68"/>
    <w:rsid w:val="00384194"/>
    <w:rsid w:val="003A09C2"/>
    <w:rsid w:val="003A2BD9"/>
    <w:rsid w:val="003D3F9C"/>
    <w:rsid w:val="003D4641"/>
    <w:rsid w:val="00404CA7"/>
    <w:rsid w:val="00405A5C"/>
    <w:rsid w:val="00407D91"/>
    <w:rsid w:val="00456F49"/>
    <w:rsid w:val="00460A5E"/>
    <w:rsid w:val="00465AC5"/>
    <w:rsid w:val="004730E8"/>
    <w:rsid w:val="00493C4F"/>
    <w:rsid w:val="004D49CF"/>
    <w:rsid w:val="004E0F5F"/>
    <w:rsid w:val="004E2D19"/>
    <w:rsid w:val="004E47D6"/>
    <w:rsid w:val="004F182F"/>
    <w:rsid w:val="00523B5C"/>
    <w:rsid w:val="00532ADD"/>
    <w:rsid w:val="0055769E"/>
    <w:rsid w:val="00575363"/>
    <w:rsid w:val="00575A40"/>
    <w:rsid w:val="005821A0"/>
    <w:rsid w:val="00597A68"/>
    <w:rsid w:val="005A7DFB"/>
    <w:rsid w:val="005B47C7"/>
    <w:rsid w:val="00622D0C"/>
    <w:rsid w:val="00632FD1"/>
    <w:rsid w:val="006475A7"/>
    <w:rsid w:val="00647DA0"/>
    <w:rsid w:val="00652DD8"/>
    <w:rsid w:val="0066548F"/>
    <w:rsid w:val="006C71DC"/>
    <w:rsid w:val="006D48DA"/>
    <w:rsid w:val="006E1F2E"/>
    <w:rsid w:val="006F10B9"/>
    <w:rsid w:val="006F203C"/>
    <w:rsid w:val="007042B2"/>
    <w:rsid w:val="007048AD"/>
    <w:rsid w:val="00704F11"/>
    <w:rsid w:val="0070517C"/>
    <w:rsid w:val="00737143"/>
    <w:rsid w:val="007417A2"/>
    <w:rsid w:val="0074245B"/>
    <w:rsid w:val="007577E2"/>
    <w:rsid w:val="00757F2E"/>
    <w:rsid w:val="007608D8"/>
    <w:rsid w:val="007611E3"/>
    <w:rsid w:val="00766EDC"/>
    <w:rsid w:val="007754BE"/>
    <w:rsid w:val="007A0D9F"/>
    <w:rsid w:val="007F6079"/>
    <w:rsid w:val="00822CFB"/>
    <w:rsid w:val="00826445"/>
    <w:rsid w:val="00831D75"/>
    <w:rsid w:val="00840DE5"/>
    <w:rsid w:val="00843222"/>
    <w:rsid w:val="00845481"/>
    <w:rsid w:val="00867D97"/>
    <w:rsid w:val="0087507C"/>
    <w:rsid w:val="008937FC"/>
    <w:rsid w:val="00894422"/>
    <w:rsid w:val="00894676"/>
    <w:rsid w:val="0089537D"/>
    <w:rsid w:val="00896885"/>
    <w:rsid w:val="008B3C7A"/>
    <w:rsid w:val="008B5875"/>
    <w:rsid w:val="008C6244"/>
    <w:rsid w:val="008D09B7"/>
    <w:rsid w:val="008D0DC0"/>
    <w:rsid w:val="008D43B4"/>
    <w:rsid w:val="008D6864"/>
    <w:rsid w:val="008E2F65"/>
    <w:rsid w:val="008F296A"/>
    <w:rsid w:val="00907839"/>
    <w:rsid w:val="00907F1C"/>
    <w:rsid w:val="00921D50"/>
    <w:rsid w:val="0094036B"/>
    <w:rsid w:val="0096338A"/>
    <w:rsid w:val="00965A45"/>
    <w:rsid w:val="00981D76"/>
    <w:rsid w:val="00985D7D"/>
    <w:rsid w:val="00992962"/>
    <w:rsid w:val="00995200"/>
    <w:rsid w:val="009B5A52"/>
    <w:rsid w:val="009D0ECF"/>
    <w:rsid w:val="009F21D1"/>
    <w:rsid w:val="00A01363"/>
    <w:rsid w:val="00A03784"/>
    <w:rsid w:val="00A27104"/>
    <w:rsid w:val="00A31C05"/>
    <w:rsid w:val="00A4487D"/>
    <w:rsid w:val="00A72B72"/>
    <w:rsid w:val="00A83CEC"/>
    <w:rsid w:val="00A86B86"/>
    <w:rsid w:val="00AA1460"/>
    <w:rsid w:val="00AA7E82"/>
    <w:rsid w:val="00AD62DE"/>
    <w:rsid w:val="00AD65C7"/>
    <w:rsid w:val="00AE174F"/>
    <w:rsid w:val="00B0100D"/>
    <w:rsid w:val="00B03B97"/>
    <w:rsid w:val="00B201B0"/>
    <w:rsid w:val="00B60A6D"/>
    <w:rsid w:val="00B66C05"/>
    <w:rsid w:val="00B732D6"/>
    <w:rsid w:val="00B808C2"/>
    <w:rsid w:val="00B84250"/>
    <w:rsid w:val="00B93048"/>
    <w:rsid w:val="00B94D87"/>
    <w:rsid w:val="00B95D89"/>
    <w:rsid w:val="00BB2A2E"/>
    <w:rsid w:val="00BC06BF"/>
    <w:rsid w:val="00BD057E"/>
    <w:rsid w:val="00C14758"/>
    <w:rsid w:val="00C34BC8"/>
    <w:rsid w:val="00C37986"/>
    <w:rsid w:val="00C4131D"/>
    <w:rsid w:val="00C4614F"/>
    <w:rsid w:val="00C70775"/>
    <w:rsid w:val="00C73650"/>
    <w:rsid w:val="00C76DCB"/>
    <w:rsid w:val="00C93EBC"/>
    <w:rsid w:val="00C96028"/>
    <w:rsid w:val="00CB7E4B"/>
    <w:rsid w:val="00CC0218"/>
    <w:rsid w:val="00CC5FC2"/>
    <w:rsid w:val="00CD3305"/>
    <w:rsid w:val="00CE35B2"/>
    <w:rsid w:val="00CF7C86"/>
    <w:rsid w:val="00D01C2D"/>
    <w:rsid w:val="00D306AE"/>
    <w:rsid w:val="00D320D1"/>
    <w:rsid w:val="00D5065D"/>
    <w:rsid w:val="00DA2ED9"/>
    <w:rsid w:val="00DA5EDC"/>
    <w:rsid w:val="00DB20A8"/>
    <w:rsid w:val="00DC5A57"/>
    <w:rsid w:val="00DE0C3A"/>
    <w:rsid w:val="00DE4D86"/>
    <w:rsid w:val="00DE7A6C"/>
    <w:rsid w:val="00DF0790"/>
    <w:rsid w:val="00DF6930"/>
    <w:rsid w:val="00DF72E8"/>
    <w:rsid w:val="00E01B22"/>
    <w:rsid w:val="00E0324A"/>
    <w:rsid w:val="00E12942"/>
    <w:rsid w:val="00E16752"/>
    <w:rsid w:val="00E22F0D"/>
    <w:rsid w:val="00E44407"/>
    <w:rsid w:val="00E602B6"/>
    <w:rsid w:val="00E914DC"/>
    <w:rsid w:val="00EB191B"/>
    <w:rsid w:val="00EB57E0"/>
    <w:rsid w:val="00EB6829"/>
    <w:rsid w:val="00EC0491"/>
    <w:rsid w:val="00EC5514"/>
    <w:rsid w:val="00EE12BC"/>
    <w:rsid w:val="00EF1FCF"/>
    <w:rsid w:val="00F1682C"/>
    <w:rsid w:val="00F564F1"/>
    <w:rsid w:val="00F61A6F"/>
    <w:rsid w:val="00F625A9"/>
    <w:rsid w:val="00F66955"/>
    <w:rsid w:val="00F8370F"/>
    <w:rsid w:val="00F85E83"/>
    <w:rsid w:val="00FA1059"/>
    <w:rsid w:val="00FB4A4F"/>
    <w:rsid w:val="00FB7C0B"/>
    <w:rsid w:val="00FE695A"/>
    <w:rsid w:val="00FF7C52"/>
    <w:rsid w:val="13262F6D"/>
    <w:rsid w:val="14D53545"/>
    <w:rsid w:val="22400F86"/>
    <w:rsid w:val="2BBC5C32"/>
    <w:rsid w:val="30E429EE"/>
    <w:rsid w:val="3D2F13AB"/>
    <w:rsid w:val="4B801A53"/>
    <w:rsid w:val="6CBA57D7"/>
    <w:rsid w:val="73D02321"/>
    <w:rsid w:val="770D617D"/>
    <w:rsid w:val="7F915C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0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next w:val="1"/>
    <w:qFormat/>
    <w:uiPriority w:val="0"/>
    <w:pPr>
      <w:autoSpaceDE w:val="0"/>
      <w:autoSpaceDN w:val="0"/>
      <w:adjustRightInd w:val="0"/>
      <w:spacing w:line="288" w:lineRule="auto"/>
      <w:ind w:left="1260" w:hanging="420"/>
      <w:jc w:val="left"/>
      <w:textAlignment w:val="baseline"/>
    </w:pPr>
    <w:rPr>
      <w:kern w:val="0"/>
      <w:sz w:val="24"/>
      <w:szCs w:val="20"/>
    </w:rPr>
  </w:style>
  <w:style w:type="paragraph" w:styleId="3">
    <w:name w:val="Body Text First Indent"/>
    <w:basedOn w:val="4"/>
    <w:next w:val="1"/>
    <w:qFormat/>
    <w:uiPriority w:val="0"/>
    <w:pPr>
      <w:ind w:firstLine="420" w:firstLineChars="100"/>
    </w:pPr>
  </w:style>
  <w:style w:type="paragraph" w:styleId="4">
    <w:name w:val="Body Text"/>
    <w:basedOn w:val="1"/>
    <w:next w:val="3"/>
    <w:link w:val="20"/>
    <w:qFormat/>
    <w:uiPriority w:val="0"/>
    <w:pPr>
      <w:widowControl/>
      <w:jc w:val="left"/>
    </w:pPr>
    <w:rPr>
      <w:kern w:val="0"/>
      <w:sz w:val="32"/>
    </w:rPr>
  </w:style>
  <w:style w:type="paragraph" w:styleId="5">
    <w:name w:val="Normal Indent"/>
    <w:basedOn w:val="1"/>
    <w:unhideWhenUsed/>
    <w:qFormat/>
    <w:uiPriority w:val="99"/>
    <w:pPr>
      <w:ind w:firstLine="420"/>
    </w:pPr>
    <w:rPr>
      <w:szCs w:val="21"/>
    </w:rPr>
  </w:style>
  <w:style w:type="paragraph" w:styleId="6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nhideWhenUsed/>
    <w:uiPriority w:val="99"/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2">
    <w:name w:val="表格正文"/>
    <w:basedOn w:val="1"/>
    <w:qFormat/>
    <w:uiPriority w:val="0"/>
    <w:pPr>
      <w:snapToGrid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snapToGrid w:val="0"/>
      <w:color w:val="auto"/>
      <w:sz w:val="21"/>
      <w:szCs w:val="21"/>
    </w:rPr>
  </w:style>
  <w:style w:type="paragraph" w:customStyle="1" w:styleId="13">
    <w:name w:val="xl31"/>
    <w:basedOn w:val="1"/>
    <w:qFormat/>
    <w:uiPriority w:val="0"/>
    <w:pPr>
      <w:widowControl/>
      <w:spacing w:before="100" w:beforeLines="0" w:beforeAutospacing="1" w:after="100" w:afterLines="0" w:afterAutospacing="1"/>
      <w:jc w:val="center"/>
    </w:pPr>
    <w:rPr>
      <w:kern w:val="0"/>
      <w:sz w:val="24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cs="Calibri"/>
      <w:kern w:val="0"/>
      <w:szCs w:val="21"/>
    </w:rPr>
  </w:style>
  <w:style w:type="paragraph" w:customStyle="1" w:styleId="15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6">
    <w:name w:val="Char Char1 Char"/>
    <w:basedOn w:val="1"/>
    <w:qFormat/>
    <w:uiPriority w:val="0"/>
    <w:rPr>
      <w:szCs w:val="21"/>
    </w:rPr>
  </w:style>
  <w:style w:type="paragraph" w:customStyle="1" w:styleId="17">
    <w:name w:val="Body Text 22"/>
    <w:basedOn w:val="1"/>
    <w:qFormat/>
    <w:uiPriority w:val="0"/>
    <w:pPr>
      <w:adjustRightInd w:val="0"/>
      <w:spacing w:line="440" w:lineRule="atLeast"/>
      <w:ind w:firstLine="480"/>
      <w:textAlignment w:val="baseline"/>
    </w:pPr>
    <w:rPr>
      <w:rFonts w:ascii="Times New Roman" w:hAnsi="Times New Roman" w:eastAsia="仿宋_GB2312" w:cs="Dutch801 Rm BT"/>
      <w:sz w:val="24"/>
      <w:szCs w:val="20"/>
    </w:rPr>
  </w:style>
  <w:style w:type="paragraph" w:customStyle="1" w:styleId="18">
    <w:name w:val="Default"/>
    <w:basedOn w:val="19"/>
    <w:next w:val="2"/>
    <w:qFormat/>
    <w:uiPriority w:val="0"/>
    <w:pPr>
      <w:widowControl w:val="0"/>
      <w:tabs>
        <w:tab w:val="right" w:pos="0"/>
      </w:tabs>
      <w:autoSpaceDE w:val="0"/>
      <w:autoSpaceDN w:val="0"/>
      <w:adjustRightInd w:val="0"/>
    </w:pPr>
    <w:rPr>
      <w:color w:val="000000"/>
      <w:sz w:val="24"/>
      <w:szCs w:val="24"/>
      <w:lang w:val="en-US" w:eastAsia="zh-CN" w:bidi="ar-SA"/>
    </w:rPr>
  </w:style>
  <w:style w:type="paragraph" w:customStyle="1" w:styleId="19">
    <w:name w:val="纯文本1"/>
    <w:basedOn w:val="1"/>
    <w:qFormat/>
    <w:uiPriority w:val="0"/>
    <w:pPr>
      <w:tabs>
        <w:tab w:val="right" w:pos="0"/>
      </w:tabs>
      <w:adjustRightInd w:val="0"/>
      <w:snapToGrid w:val="0"/>
      <w:spacing w:line="360" w:lineRule="auto"/>
      <w:jc w:val="center"/>
      <w:textAlignment w:val="baseline"/>
    </w:pPr>
    <w:rPr>
      <w:rFonts w:ascii="宋体" w:hAnsi="Courier New" w:eastAsia="仿宋_GB2312"/>
      <w:snapToGrid w:val="0"/>
      <w:kern w:val="0"/>
      <w:sz w:val="24"/>
      <w:szCs w:val="20"/>
    </w:rPr>
  </w:style>
  <w:style w:type="character" w:customStyle="1" w:styleId="20">
    <w:name w:val="正文文本 Char"/>
    <w:basedOn w:val="8"/>
    <w:link w:val="4"/>
    <w:qFormat/>
    <w:uiPriority w:val="0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1131</Words>
  <Characters>1229</Characters>
  <Lines>10</Lines>
  <Paragraphs>2</Paragraphs>
  <TotalTime>0</TotalTime>
  <ScaleCrop>false</ScaleCrop>
  <LinksUpToDate>false</LinksUpToDate>
  <CharactersWithSpaces>1229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2018-12-25T02:00:00Z</dcterms:created>
  <dc:creator>lenovo</dc:creator>
  <cp:lastModifiedBy>admin</cp:lastModifiedBy>
  <cp:lastPrinted>2020-10-29T08:11:00Z</cp:lastPrinted>
  <dcterms:modified xsi:type="dcterms:W3CDTF">2024-06-24T02:08:44Z</dcterms:modified>
  <dc:title>重庆市巴南区环境保护局受理建设项目环评信息公告（非辐射类）20170927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8A597A2705494FBB97E6A7E6FAC121B6_13</vt:lpwstr>
  </property>
</Properties>
</file>