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17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702945</wp:posOffset>
                </wp:positionV>
                <wp:extent cx="5651500" cy="10160"/>
                <wp:effectExtent l="0" t="19050" r="2540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0" cy="10160"/>
                        </a:xfrm>
                        <a:prstGeom prst="line">
                          <a:avLst/>
                        </a:prstGeom>
                        <a:ln w="381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55.35pt;height:0.8pt;width:445pt;z-index:251790336;mso-width-relative:page;mso-height-relative:page;" filled="f" stroked="t" coordsize="21600,21600" o:gfxdata="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BBQ&#10;fdgAAAAKAQAADwAAAAAAAAABACAAAAAiAAAAZHJzL2Rvd25yZXYueG1sUEsBAhQAFAAAAAgAh07i&#10;QJYR9bXpAQAArwMAAA4AAAAAAAAAAQAgAAAAJwEAAGRycy9lMm9Eb2MueG1sUEsFBgAAAAAGAAYA&#10;WQEAAIIFAAAAAA==&#10;">
                <v:fill on="f" focussize="0,0"/>
                <v:stroke weight="3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FF0000"/>
          <w:spacing w:val="17"/>
          <w:sz w:val="72"/>
          <w:szCs w:val="72"/>
        </w:rPr>
        <w:t>重庆市巴南区生态环境局</w:t>
      </w:r>
    </w:p>
    <w:p>
      <w:pPr>
        <w:pStyle w:val="15"/>
        <w:jc w:val="right"/>
        <w:rPr>
          <w:rFonts w:hint="eastAsia" w:ascii="Times New Roman" w:hAnsi="Times New Roman" w:eastAsia="方正仿宋_GBK" w:cstheme="minorBidi"/>
          <w:kern w:val="2"/>
          <w:sz w:val="32"/>
          <w:szCs w:val="22"/>
          <w:lang w:val="en-US" w:eastAsia="zh-CN" w:bidi="ar-SA"/>
        </w:rPr>
      </w:pPr>
    </w:p>
    <w:p>
      <w:pPr>
        <w:pStyle w:val="15"/>
        <w:jc w:val="right"/>
        <w:rPr>
          <w:rFonts w:hint="eastAsia" w:ascii="Times New Roman" w:hAnsi="Times New Roman" w:eastAsia="方正仿宋_GBK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方正仿宋_GBK" w:cstheme="minorBidi"/>
          <w:kern w:val="2"/>
          <w:sz w:val="32"/>
          <w:szCs w:val="22"/>
          <w:lang w:val="en-US" w:eastAsia="zh-CN" w:bidi="ar-SA"/>
        </w:rPr>
        <w:t>〔2025〕—2</w:t>
      </w:r>
    </w:p>
    <w:p>
      <w:pPr>
        <w:pStyle w:val="15"/>
        <w:rPr>
          <w:rFonts w:hint="eastAsia"/>
        </w:rPr>
      </w:pPr>
    </w:p>
    <w:p>
      <w:pPr>
        <w:pStyle w:val="15"/>
      </w:pPr>
      <w:r>
        <w:rPr>
          <w:rFonts w:hint="eastAsia"/>
        </w:rPr>
        <w:t>重庆市巴南区生态环境局</w:t>
      </w:r>
      <w:r>
        <w:br w:type="textWrapping"/>
      </w:r>
      <w:r>
        <w:rPr>
          <w:rFonts w:hint="eastAsia"/>
        </w:rPr>
        <w:t>关于确定并公布重庆市巴南区2024年度环境信用评价区级参评企业名单的通知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outlineLvl w:val="9"/>
      </w:pPr>
      <w:r>
        <w:rPr>
          <w:rFonts w:hint="eastAsia"/>
        </w:rPr>
        <w:t>各区级参评企业：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</w:pPr>
      <w:r>
        <w:rPr>
          <w:rFonts w:hint="eastAsia"/>
        </w:rPr>
        <w:t>为深入推进环境信用体系建设，按照重庆市生态环境局、重庆市发展和改革委员会、中国人民银行重庆营业管理部、中国银行保险监督管理委员会重庆监管局《关于印发重庆市企业环境信用评价办法的通知》（渝环规〔2021〕7号），现将符合参评条件的103家企业纳入巴南区2024年度环境信用评价区级参评企业名单予以发布。请各参评企业认真做好相关准备，待评价工作正式启动后，于20个工作日内及时登录重庆市企业环境信用评价平台（http://qyhjxypj.com/），按评价指标要求逐项提供相关信息和佐证资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</w:pPr>
      <w:r>
        <w:rPr>
          <w:rFonts w:hint="eastAsia"/>
        </w:rPr>
        <w:t>特此通知。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</w:pPr>
      <w:r>
        <w:rPr>
          <w:rFonts w:hint="eastAsia"/>
        </w:rPr>
        <w:t>附件：巴南区2024年度环境信用评价区级参评企业名单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righ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righ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outlineLvl w:val="9"/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重庆市巴南区生态环境局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480" w:firstLineChars="1400"/>
        <w:jc w:val="both"/>
        <w:textAlignment w:val="auto"/>
        <w:outlineLvl w:val="9"/>
      </w:pPr>
      <w:r>
        <w:rPr>
          <w:rFonts w:hint="eastAsia"/>
        </w:rPr>
        <w:t xml:space="preserve"> 2025年5月30日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</w:pPr>
      <w:r>
        <w:rPr>
          <w:rFonts w:hint="eastAsia"/>
          <w:lang w:eastAsia="zh-CN"/>
        </w:rPr>
        <w:t>（</w:t>
      </w:r>
      <w:r>
        <w:rPr>
          <w:rFonts w:hint="eastAsia"/>
        </w:rPr>
        <w:t>联系人：万博文；联系电话：023-86533085</w:t>
      </w:r>
      <w:r>
        <w:rPr>
          <w:rFonts w:hint="eastAsia"/>
          <w:lang w:eastAsia="zh-CN"/>
        </w:rPr>
        <w:t>）</w:t>
      </w:r>
      <w:r>
        <w:br w:type="page"/>
      </w:r>
    </w:p>
    <w:p>
      <w:pPr>
        <w:spacing w:line="560" w:lineRule="exact"/>
        <w:ind w:firstLine="0" w:firstLineChars="0"/>
        <w:rPr>
          <w:sz w:val="30"/>
          <w:szCs w:val="30"/>
        </w:rPr>
      </w:pPr>
      <w:r>
        <w:rPr>
          <w:rFonts w:hint="eastAsia" w:ascii="方正黑体_GBK" w:eastAsia="方正黑体_GBK"/>
          <w:szCs w:val="32"/>
        </w:rPr>
        <w:t>附件</w:t>
      </w:r>
    </w:p>
    <w:p>
      <w:pPr>
        <w:spacing w:line="360" w:lineRule="auto"/>
        <w:ind w:firstLine="0" w:firstLineChars="0"/>
        <w:jc w:val="center"/>
      </w:pPr>
      <w:r>
        <w:rPr>
          <w:rFonts w:hint="eastAsia" w:ascii="方正小标宋_GBK" w:eastAsia="方正小标宋_GBK"/>
          <w:szCs w:val="32"/>
        </w:rPr>
        <w:t>重庆市巴南区2024年度环境信用评价区级参评企业名单</w:t>
      </w:r>
    </w:p>
    <w:tbl>
      <w:tblPr>
        <w:tblStyle w:val="17"/>
        <w:tblW w:w="8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88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重庆关西涂料有限公司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91500108621910576H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重庆市三峡水务巴南排水有限责任公司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915001137958696652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重庆大江车桥有限责任公司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91500113MA607ECX0T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重庆渝江水务有限公司南湖自来水厂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9150011305775679XR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蓝月亮（重庆）有限公司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91500113336392597R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重庆平山泰凯化油器有限公司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91500113621907422C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重庆智靖工业（集团）有限公司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91500113203437368J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重庆泰基科技发展有限公司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915001137562284271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中冶建工集团重庆建筑工业有限公司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915001133459721982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力森诺科电子材料（重庆）有限公司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91500113599249610G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重庆祥明仪表机箱有限公司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91500113742864238G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重庆建设汽车系统股份有限公司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915000007474824231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重庆惠源螺丝制造有限公司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915001136219045206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重庆弘顺橡塑制品有限公司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91500113771756658D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重庆海杰机械制造有限公司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915001137339726084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重庆长江链条有限公司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9150011320294590XF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重庆万里江发链轮有限公司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91500113736575261U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重庆巨成集团矿业有限公司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91500113596701675P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重庆弘炫涂装有限公司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91500113MA5U48GW0D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重庆美利信科技股份有限公司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91500113709375029C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重庆富江能源科技有限公司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9150011357895779X9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重庆川渝精工机械配件开发有限公司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91500113739808374M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重庆四方新材股份有限公司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91500113753062388G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重庆航利实业有限责任公司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91500113203448454R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重庆富登机械制造有限公司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915001137562229650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丰盛污水处理厂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912103039413543102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重庆益生味食品开发有限公司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915001133395542809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天星寺污水处理厂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91500113595181655X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双河口污水处理厂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91500113595181655X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麻柳嘴污水处理厂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91500113595181655X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二圣污水处理厂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91500113595181655X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重庆利万家商品混凝土有限公司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91500113596743525A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重庆市豪洋水务建设管理有限公司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（忠兴污水处理厂）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91500105756212476D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重庆市豪洋水务建设管理有限公司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（石龙污水处理厂）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91500105756212476D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重庆长庆压铸有限公司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91500113202869409Y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重庆艾维迪生物科技有限公司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91500113MA5U5LDQ30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重庆姜家龙石矿业有限公司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91500113MA5U8KHL1C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重庆兴德新能源发展有限公司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91500113345938563J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重庆凯腾燃气有限公司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91500113203444883K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石岗污水处理厂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91500113595181655X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公平污水处理厂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91500113595181655X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重庆市衡阳石油设备机械厂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91500113203143693A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鹿角污水处理厂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91500113595181655X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重庆宗申汽车进气系统制造有限公司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9150011373655062XH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重庆宗申机车工业制造有限公司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91500113621910779D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重庆劲力高级润滑油有限公司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91500113622034109F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重庆市畅阔公路养护工程有限公司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915001135540696166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重庆宁泰混凝土有限公司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91500113595159458E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安澜污水处理厂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91500113595181655X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百节污水处理厂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91500113595181655X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重庆柳江医药科技有限公司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91500113355676990X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重庆鸿景餐饮服务有限责任公司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915001133277956937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重庆鼎星渗氮表面处理有限公司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91500113768878822W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重庆渝南水处理有限公司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915001136761391842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重庆市豪洋水务建设管理有限公司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（惠民污水处理厂）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91500105756212476D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重庆市渝路混凝土有限公司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91500113742861272C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重庆市内引燃料有限责任公司储配站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91500113745334101G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重庆弘愿工具（集团）有限公司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915001132034443143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重庆会通轻质材料有限公司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91500113MA60MXHB60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重庆华赛塑料制造有限公司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91500113765940184G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重庆喆淞公路工程材料有限责任公司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91500113554060865J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重庆瑞达印务有限公司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915001132034401969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重庆市巴南区广发汽车配件制造有限公司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915001137592680292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重庆光宇摩托车制造有限公司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9150011362219871XE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重庆品智家具有限公司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91500113569946263E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重庆天方食品有限公司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91500113798008473R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重庆香卤阿旺食品有限公司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91500103339615426C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重庆市蜀天食品有限公司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91500113691234446Q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康超集团有限公司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91330723751933928L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重庆扬子江洗涤用品有限公司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91500113304848756W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重庆昊潮机械制造有限公司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91500113057782082P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重庆多普橡胶有限公司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91500113745345986L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重庆山河机械有限公司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91500113765947503E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重庆恒先化工有限公司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91500113709488517H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跳石污水处理厂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91500113595181655X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石滩污水处理厂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91500113595181655X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重庆百超食品有限公司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91500113742862988Y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重庆光成建材有限公司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915001137659248895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重庆弘创机械有限公司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91500113709416089X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一品街道污水处理厂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91500113595181655X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接龙污水处理厂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91500113595181655X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东温泉污水处理厂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91500113595181655X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重庆广兴包装有限责任公司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9150011379800398XK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重庆彭氏科技开发有限公司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91500113X22072160F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重庆齐力家俬有限公司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91500113320402906R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重庆众禾燃料有限公司液化石油气储配（充装）站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91500113742862822G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姜家污水处理厂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91500113595181655X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重庆早柒天生物科技股份有限公司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9150011333957242X9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重庆大江杰信锻造有限公司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91500113563467579P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重庆市春满江科技股份有限公司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91500113668945071U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重庆四方新材股份有限公司建材分公司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915001130912239462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重庆东科农业有限公司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915001137688790087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重庆国舒制药有限公司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91500113MA5U6H184G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重庆荣能农业发展有限公司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91500113MA60UFCP30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重庆木犴生猪养殖有限公司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915001137958815841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重庆西华皮带轮机械制造有限公司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91500113450390181B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重庆惠远通农业开发有限公司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91500113MA60UAWA4C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重庆大江工业有限责任公司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915001137842021875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重庆市巴南区中医院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12500113450495522T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重庆建设翰昂汽车热管理系统有限公司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91500113MA5YQEYC1D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重庆玖泰再生资源有限公司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91500113MADCTMGG2A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重庆天钜环保工程有限公司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91500113MADB6Y727U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重庆升格新材料有限公司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9150011358893302X0</w:t>
            </w:r>
          </w:p>
        </w:tc>
      </w:tr>
    </w:tbl>
    <w:p>
      <w:pPr>
        <w:spacing w:line="14" w:lineRule="exact"/>
        <w:ind w:firstLine="64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851" w:footer="1474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912C8"/>
    <w:multiLevelType w:val="multilevel"/>
    <w:tmpl w:val="563912C8"/>
    <w:lvl w:ilvl="0" w:tentative="0">
      <w:start w:val="1"/>
      <w:numFmt w:val="chineseCountingThousand"/>
      <w:pStyle w:val="4"/>
      <w:suff w:val="nothing"/>
      <w:lvlText w:val="（%1）"/>
      <w:lvlJc w:val="left"/>
      <w:pPr>
        <w:ind w:left="108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1">
    <w:nsid w:val="5C625C67"/>
    <w:multiLevelType w:val="multilevel"/>
    <w:tmpl w:val="5C625C67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6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F886433"/>
    <w:multiLevelType w:val="multilevel"/>
    <w:tmpl w:val="7F886433"/>
    <w:lvl w:ilvl="0" w:tentative="0">
      <w:start w:val="1"/>
      <w:numFmt w:val="decimal"/>
      <w:pStyle w:val="5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7F"/>
    <w:rsid w:val="00075794"/>
    <w:rsid w:val="00105F5E"/>
    <w:rsid w:val="001C34CD"/>
    <w:rsid w:val="001E127F"/>
    <w:rsid w:val="00312548"/>
    <w:rsid w:val="00501BF9"/>
    <w:rsid w:val="00516CE0"/>
    <w:rsid w:val="005C657E"/>
    <w:rsid w:val="006C0599"/>
    <w:rsid w:val="006E29B8"/>
    <w:rsid w:val="007071CF"/>
    <w:rsid w:val="008F4493"/>
    <w:rsid w:val="009046AA"/>
    <w:rsid w:val="00AA3308"/>
    <w:rsid w:val="00B04123"/>
    <w:rsid w:val="00C66B5F"/>
    <w:rsid w:val="00C943EA"/>
    <w:rsid w:val="00DC40FF"/>
    <w:rsid w:val="00E43259"/>
    <w:rsid w:val="1CD94054"/>
    <w:rsid w:val="7EF1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numPr>
        <w:ilvl w:val="0"/>
        <w:numId w:val="1"/>
      </w:numPr>
      <w:ind w:left="0" w:firstLine="200"/>
      <w:outlineLvl w:val="0"/>
    </w:pPr>
    <w:rPr>
      <w:rFonts w:eastAsia="方正黑体_GBK" w:cstheme="majorBidi"/>
      <w:szCs w:val="48"/>
    </w:rPr>
  </w:style>
  <w:style w:type="paragraph" w:styleId="4">
    <w:name w:val="heading 2"/>
    <w:basedOn w:val="1"/>
    <w:next w:val="1"/>
    <w:link w:val="20"/>
    <w:unhideWhenUsed/>
    <w:qFormat/>
    <w:uiPriority w:val="9"/>
    <w:pPr>
      <w:numPr>
        <w:ilvl w:val="0"/>
        <w:numId w:val="2"/>
      </w:numPr>
      <w:ind w:left="0" w:firstLine="200"/>
      <w:outlineLvl w:val="1"/>
    </w:pPr>
    <w:rPr>
      <w:rFonts w:eastAsia="方正楷体_GBK" w:cstheme="majorBidi"/>
      <w:szCs w:val="40"/>
    </w:rPr>
  </w:style>
  <w:style w:type="paragraph" w:styleId="5">
    <w:name w:val="heading 3"/>
    <w:basedOn w:val="1"/>
    <w:next w:val="1"/>
    <w:link w:val="21"/>
    <w:unhideWhenUsed/>
    <w:qFormat/>
    <w:uiPriority w:val="9"/>
    <w:pPr>
      <w:numPr>
        <w:ilvl w:val="0"/>
        <w:numId w:val="3"/>
      </w:numPr>
      <w:ind w:firstLine="200"/>
      <w:outlineLvl w:val="2"/>
    </w:pPr>
    <w:rPr>
      <w:rFonts w:cstheme="majorBidi"/>
      <w:bCs/>
      <w:szCs w:val="32"/>
    </w:rPr>
  </w:style>
  <w:style w:type="paragraph" w:styleId="6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7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</w:rPr>
  </w:style>
  <w:style w:type="paragraph" w:styleId="8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9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Times New Roman" w:eastAsia="宋体"/>
      <w:sz w:val="21"/>
    </w:rPr>
  </w:style>
  <w:style w:type="paragraph" w:styleId="12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18"/>
    <w:qFormat/>
    <w:uiPriority w:val="10"/>
    <w:pPr>
      <w:wordWrap w:val="0"/>
      <w:ind w:firstLine="0" w:firstLineChars="0"/>
      <w:contextualSpacing/>
      <w:jc w:val="center"/>
    </w:pPr>
    <w:rPr>
      <w:rFonts w:eastAsia="方正小标宋_GBK" w:cstheme="majorBidi"/>
      <w:kern w:val="28"/>
      <w:sz w:val="44"/>
      <w:szCs w:val="56"/>
    </w:rPr>
  </w:style>
  <w:style w:type="character" w:customStyle="1" w:styleId="18">
    <w:name w:val="标题 字符"/>
    <w:basedOn w:val="16"/>
    <w:link w:val="15"/>
    <w:qFormat/>
    <w:uiPriority w:val="10"/>
    <w:rPr>
      <w:rFonts w:ascii="Times New Roman" w:hAnsi="Times New Roman" w:eastAsia="方正小标宋_GBK" w:cstheme="majorBidi"/>
      <w:kern w:val="28"/>
      <w:sz w:val="44"/>
      <w:szCs w:val="56"/>
    </w:rPr>
  </w:style>
  <w:style w:type="character" w:customStyle="1" w:styleId="19">
    <w:name w:val="标题 1 字符"/>
    <w:basedOn w:val="16"/>
    <w:link w:val="3"/>
    <w:uiPriority w:val="9"/>
    <w:rPr>
      <w:rFonts w:ascii="Times New Roman" w:hAnsi="Times New Roman" w:eastAsia="方正黑体_GBK" w:cstheme="majorBidi"/>
      <w:sz w:val="32"/>
      <w:szCs w:val="48"/>
    </w:rPr>
  </w:style>
  <w:style w:type="character" w:customStyle="1" w:styleId="20">
    <w:name w:val="标题 2 字符"/>
    <w:basedOn w:val="16"/>
    <w:link w:val="4"/>
    <w:uiPriority w:val="9"/>
    <w:rPr>
      <w:rFonts w:ascii="Times New Roman" w:hAnsi="Times New Roman" w:eastAsia="方正楷体_GBK" w:cstheme="majorBidi"/>
      <w:sz w:val="32"/>
      <w:szCs w:val="40"/>
    </w:rPr>
  </w:style>
  <w:style w:type="character" w:customStyle="1" w:styleId="21">
    <w:name w:val="标题 3 字符"/>
    <w:basedOn w:val="16"/>
    <w:link w:val="5"/>
    <w:uiPriority w:val="9"/>
    <w:rPr>
      <w:rFonts w:ascii="Times New Roman" w:hAnsi="Times New Roman" w:eastAsia="方正仿宋_GBK" w:cstheme="majorBidi"/>
      <w:bCs/>
      <w:sz w:val="32"/>
      <w:szCs w:val="32"/>
    </w:rPr>
  </w:style>
  <w:style w:type="character" w:customStyle="1" w:styleId="22">
    <w:name w:val="标题 4 字符"/>
    <w:basedOn w:val="16"/>
    <w:link w:val="6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6"/>
    <w:link w:val="7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4">
    <w:name w:val="标题 6 字符"/>
    <w:basedOn w:val="16"/>
    <w:link w:val="8"/>
    <w:semiHidden/>
    <w:uiPriority w:val="9"/>
    <w:rPr>
      <w:rFonts w:cstheme="majorBidi"/>
      <w:b/>
      <w:bCs/>
      <w:color w:val="2F5597" w:themeColor="accent1" w:themeShade="BF"/>
      <w:sz w:val="32"/>
    </w:rPr>
  </w:style>
  <w:style w:type="character" w:customStyle="1" w:styleId="25">
    <w:name w:val="标题 7 字符"/>
    <w:basedOn w:val="16"/>
    <w:link w:val="9"/>
    <w:semiHidden/>
    <w:uiPriority w:val="9"/>
    <w:rPr>
      <w:rFonts w:cstheme="majorBidi"/>
      <w:b/>
      <w:bCs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6"/>
    <w:link w:val="10"/>
    <w:semiHidden/>
    <w:uiPriority w:val="9"/>
    <w:rPr>
      <w:rFonts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6"/>
    <w:link w:val="11"/>
    <w:semiHidden/>
    <w:uiPriority w:val="9"/>
    <w:rPr>
      <w:rFonts w:eastAsiaTheme="majorEastAsia"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副标题 字符"/>
    <w:basedOn w:val="16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uiPriority w:val="29"/>
    <w:rPr>
      <w:rFonts w:ascii="Times New Roman" w:hAnsi="Times New Roman" w:eastAsia="方正仿宋_GBK"/>
      <w:i/>
      <w:iCs/>
      <w:color w:val="404040" w:themeColor="text1" w:themeTint="BF"/>
      <w:sz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uiPriority w:val="30"/>
    <w:rPr>
      <w:rFonts w:ascii="Times New Roman" w:hAnsi="Times New Roman" w:eastAsia="方正仿宋_GBK"/>
      <w:i/>
      <w:iCs/>
      <w:color w:val="2F5597" w:themeColor="accent1" w:themeShade="BF"/>
      <w:sz w:val="32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36">
    <w:name w:val="Default"/>
    <w:next w:val="1"/>
    <w:qFormat/>
    <w:uiPriority w:val="0"/>
    <w:pPr>
      <w:widowControl w:val="0"/>
      <w:autoSpaceDE w:val="0"/>
      <w:autoSpaceDN w:val="0"/>
      <w:adjustRightInd w:val="0"/>
      <w:spacing w:after="160" w:line="278" w:lineRule="auto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7">
    <w:name w:val="页眉 字符"/>
    <w:basedOn w:val="16"/>
    <w:link w:val="13"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38">
    <w:name w:val="页脚 字符"/>
    <w:basedOn w:val="16"/>
    <w:link w:val="12"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627</Words>
  <Characters>3577</Characters>
  <Lines>29</Lines>
  <Paragraphs>8</Paragraphs>
  <TotalTime>4</TotalTime>
  <ScaleCrop>false</ScaleCrop>
  <LinksUpToDate>false</LinksUpToDate>
  <CharactersWithSpaces>4196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2025-05-22T06:41:00Z</dcterms:created>
  <dc:creator>My</dc:creator>
  <cp:lastModifiedBy>生态环境局办公室</cp:lastModifiedBy>
  <dcterms:modified xsi:type="dcterms:W3CDTF">2025-06-04T08:47:45Z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