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val="en-US" w:eastAsia="zh-CN"/>
        </w:rPr>
        <w:t>中共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</w:rPr>
        <w:t>重庆市巴南区卫生健康委员会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val="en-US"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default" w:ascii="Times New Roman" w:hAnsi="Times New Roman" w:cs="Times New Roman"/>
          <w:spacing w:val="85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spacing w:val="85"/>
          <w:kern w:val="0"/>
          <w:sz w:val="44"/>
          <w:szCs w:val="44"/>
        </w:rPr>
        <w:t>重庆市巴南区卫生健康委员会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</w:rPr>
        <w:t>关于202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</w:rPr>
        <w:t>年法治政府建设情况的报告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80" w:lineRule="exact"/>
        <w:ind w:firstLine="880" w:firstLineChars="20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2024年，在区委、区政府的正确领导下，巴南区卫生健康委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员会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深入贯彻习近平新时代中国特色社会主义思想，全面贯彻落实党的二十大和二十届三中全会精神，以及习近平法治思想，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认真按照《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法治政府建设工作要点》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的要求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积极推进法治政府建设，为卫生健康事业的蓬勃发展提供了坚实的法治保障。现将202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年法治政府建设工作报告如下：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一、2024年推进法治政府建设的主要举措和成效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推进依法行政与执法规范化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规范性文件制定和备案管理规定，不断加强规范性文件监督管理工作，推进依法行政；二是严格落实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行政执法制度，包括执法全过程记录、法制审核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制度，确保行政执法的合法性和公正性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积极探索执法队伍管理机制变革，提高行政效率，并落实医疗机构分级分类管理，提升监管服务效率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；三是严格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落实法律顾问制度，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在重大决策、重大项目建设等方面，积极发挥法律顾问的专业性作用，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审查的各种合同及一般文件共计30件,对要求出具法律意见的事项共计作出法律意见书16份。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（二）深化普法宣传与法治教育。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持续开展边执法边普法活动，落实柔性执法，通过约谈、培训等方式提升医疗机构依法执业水平。同时，结合特殊时段和节点，开展各类主题鲜明、重点突出、针对性强的集中法治宣传教育活动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组织系统内干部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法治理论考试，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干部职工学法、尊法、守法、用法的能力水平。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委属各单位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充分利用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办公平台、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电子屏、宣传栏、宣传横幅、纸质材料和微信公众号等载体，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聚焦卫生健康领域法律法规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以加强法治宣传和教育。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2024年开展2次法治宣传教育活动，上报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市卫生健康委法规处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典型案例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14篇；开展《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职业病防治法》 宣传周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全区共集中开展宣传活动99场次，发放宣传周资料9563份，制作宣传视频94份，受益群众11392人；开展宪法宣传周活动，并组织系统内干部职工参加2024年法治理论考试，且参考率、合格率均达100%。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（三）强化监管职责与监督执法。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持续推动严格规范、公正文明执法。2024年，完成监督任务4095户次，查处案件139件，共计罚款 64万元，其中大案结案11件，均通过重庆信用平台、区政府网站及时向社会公示。有序推进执法监督检查，监督覆盖率99.68%。完成国家双随机一公开任务，办理案件数23件，完结率100%，并按照要求进行公示。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（四）依法化解矛盾与纠纷隐患。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依法有效化解社会矛盾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2024年，完成承办各类信访件63件，群众合理诉求得到妥善解决。同时健全医疗纠纷预防化解机制，共收到医疗投诉358件，通过调查核实、依法提出调解方案、现场调解等流程,力求从源头化解矛盾，办结率达100%。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（五）加强法治引领与创新驱动。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加强医疗卫生单位法治建设，培养卫生系统人员运用法治思维和法治方式解决医疗领域问题。积极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探索创新案例，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开展了巴南区第二人民医院、区妇幼保健院、界石镇中心卫生院、南泉街道卫生服务中心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建设试点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工作，不仅提升了医护人员的法治意识和素养，完善了医院的规章制度，改善了医患关系，还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推动医院法治建设高质量发展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，促进健康领域法制化。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（六）优化营商环境与政务服务。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深化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放管服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改革，不断优化营商环境，提升政务服务效能。通过梳理服务事项、优化审批流程等措施，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对二级以下医疗机构实行设置审批与执业登记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两证合一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对开办诊所实施备案制。2024年，办理医师、护士执业注册4868件，诊所备案301件。为提升卫生许可服务效率，简化审查内容和审查环节，对七大类24种公共场所实行卫生许可告知承诺管理。2024年，办理公共场所卫生许可856件。制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马上办、网上办、就近办、一次办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事项清单，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67项行政许可事项全部实现政务服务事项线上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一网通办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全程网办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一窗通办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全程网办率达100%，全渝通办率100%。2024年受理行政许可申请6660件，办结6660件。同时强化社会信用体系建设，在办理行政许可的过程中，依托市公共信用平台联合奖惩系统查询信用信息，及时向平台反馈办理情况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新生儿出生一件事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工作积极推进，实现出生医学证明、预防接种证、落户、社保参保登记和缴费、医保等10事全程一次网办。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二、党政主要负责人履行推进法治政府建设第一责任人职责。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带头深入学习贯彻习近平法治思想，全面贯彻落实党的二十大及二十届三中全会精神，以及习近平总书记关于法治建设的重要指示批示精神，将其作为理论学习重点，2024年，委党书记、主任主持召开党委会、理论学习中心组学习党的二十大及二十届三中全会精神8次、习近平法治思想4次；二是坚持以身作则、以上率下，带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尊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学法守法用法，自觉维护司法权威，认真落实行政机关负责人出庭应诉制度，健全行政复议和行政应诉工作制度；三是将法治工作纳入党委会年度工作计划，明确工作目标、主要任务和具体举措，并抓好落实，做到了法治建设与卫生健康工作同谋划、同部署、同落实、同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三、存在问题与不足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卫生监督执法队伍力量不足。随着营商环境的持续改善，社会中个体诊所、医疗机构的数量不断增加，监管任务较重。此外，执法人员还负责公共场所卫生监督、职业病防治、传染病防治等职责，监管范围广、工作量较大，不利于执法效率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（二）普法工作的实效性有待进一步提高，法治宣传教育的形式还不够灵活多样，虽采取现场宣传和以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微信公众号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电子屏等载体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形式开展普法宣传，但部分宣传内容还需进一步贴近生活、贴近群众。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部分医疗机构和医务人员法治素养有待提升，医疗机构和医务人员作为卫生健康领域的重要主体，其法治素养的高低直接影响到法治政府建设的成效。目前，部分医疗机构和医务人员在法治观念、法律意识等方面还存在不足，需要加强法治教育和培训，提高其法治素养和依法执业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四、下一年度工作安排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（一）提升行业综合监管能力，继续做好法治教育工作，以疾控机构改革为契机，扩大队伍建设，提高依法行政能力，并强化行政执法监督检查，进一步规范卫生健康综合监督执法工作，优化营商环境。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（二）加强法治宣传，按照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谁执法谁普法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的原则，做好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普法等工作，重点加强对习近平法治思想、宪法、民法典和基本医疗卫生与健康促进法的宣传。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三）大力推进法治医院建设工作，确定医疗机构法治建设主体责任，将法治学习对象扩展到本单位医疗卫生人员，学习情况纳入系统综合评价指标体系中的法治工作进行考核。进一步推动卫生健康治理体系和治理能力现代化，充分发挥法治对卫生事业的引领规范作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264" w:firstLineChars="1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-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中共重庆市巴南区卫生健康委员会委员会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-3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-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重庆市巴南区卫生健康委员会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120" w:firstLineChars="1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月3日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5652E"/>
    <w:rsid w:val="2C2B5CF0"/>
    <w:rsid w:val="3C8D7C64"/>
    <w:rsid w:val="4CEE196E"/>
    <w:rsid w:val="5F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customStyle="1" w:styleId="5">
    <w:name w:val="正文缩进2"/>
    <w:basedOn w:val="1"/>
    <w:qFormat/>
    <w:uiPriority w:val="0"/>
    <w:pPr>
      <w:jc w:val="left"/>
    </w:pPr>
    <w:rPr>
      <w:rFonts w:hint="eastAsia"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2604</Words>
  <Characters>2708</Characters>
  <Lines>0</Lines>
  <Paragraphs>0</Paragraphs>
  <TotalTime>10</TotalTime>
  <ScaleCrop>false</ScaleCrop>
  <LinksUpToDate>false</LinksUpToDate>
  <CharactersWithSpaces>2721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2025-03-05T07:48:00Z</dcterms:created>
  <dc:creator>Administrator</dc:creator>
  <cp:lastModifiedBy>Administrator</cp:lastModifiedBy>
  <dcterms:modified xsi:type="dcterms:W3CDTF">2025-03-31T08:21:09Z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KSOTemplateDocerSaveRecord">
    <vt:lpwstr>eyJoZGlkIjoiMWZkOGE0MDE5OGJlNzNiMWYzNWJhYWRiNGU0Nzk1ZTYiLCJ1c2VySWQiOiIxMTU2NTU4MzIyIn0=</vt:lpwstr>
  </property>
  <property fmtid="{D5CDD505-2E9C-101B-9397-08002B2CF9AE}" pid="4" name="ICV">
    <vt:lpwstr>E17B3FF77F0C4D50BFD76AEA2BF59537_12</vt:lpwstr>
  </property>
</Properties>
</file>