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/>
          <w:b w:val="0"/>
          <w:bCs w:val="0"/>
        </w:rPr>
      </w:pPr>
      <w:bookmarkStart w:id="0" w:name="_Hlk37239649"/>
      <w:bookmarkEnd w:id="0"/>
    </w:p>
    <w:p>
      <w:pPr>
        <w:ind w:firstLine="641"/>
        <w:rPr>
          <w:rFonts w:hint="eastAsia" w:ascii="Times New Roman" w:hAnsi="Times New Roman"/>
          <w:b w:val="0"/>
          <w:bCs w:val="0"/>
          <w:color w:val="000000"/>
          <w:szCs w:val="32"/>
        </w:rPr>
      </w:pPr>
    </w:p>
    <w:p>
      <w:pPr>
        <w:ind w:firstLine="641"/>
        <w:rPr>
          <w:rFonts w:ascii="Times New Roman" w:hAnsi="Times New Roman"/>
          <w:b w:val="0"/>
          <w:bCs w:val="0"/>
          <w:color w:val="000000"/>
          <w:szCs w:val="32"/>
        </w:rPr>
      </w:pPr>
    </w:p>
    <w:p>
      <w:pPr>
        <w:jc w:val="both"/>
        <w:rPr>
          <w:rFonts w:ascii="Times New Roman" w:hAnsi="Times New Roman" w:cs="方正仿宋_GBK"/>
          <w:color w:val="auto"/>
          <w:szCs w:val="32"/>
          <w:shd w:val="clear" w:color="auto" w:fill="FFFFFF"/>
        </w:rPr>
      </w:pPr>
    </w:p>
    <w:p>
      <w:pPr>
        <w:jc w:val="center"/>
        <w:rPr>
          <w:rFonts w:ascii="Times New Roman" w:hAnsi="Times New Roman" w:cs="方正仿宋_GBK"/>
          <w:color w:val="auto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ascii="Times New Roman" w:hAnsi="Times New Roman"/>
          <w:color w:val="auto"/>
        </w:rPr>
      </w:pPr>
    </w:p>
    <w:p>
      <w:pPr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</w:pBdr>
        <w:jc w:val="center"/>
        <w:rPr>
          <w:rFonts w:hint="eastAsia" w:ascii="方正仿宋_GBK" w:hAnsi="方正仿宋_GBK" w:eastAsia="方正仿宋_GBK" w:cs="方正仿宋_GBK"/>
          <w:color w:val="auto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Cs w:val="32"/>
          <w:shd w:val="clear" w:color="auto" w:fill="FFFFFF"/>
          <w:lang w:val="en-US" w:eastAsia="zh-CN"/>
        </w:rPr>
        <w:t>巴南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减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办〔</w:t>
      </w:r>
      <w:r>
        <w:rPr>
          <w:rFonts w:hint="default" w:ascii="Times New Roman" w:hAnsi="Times New Roman" w:eastAsia="方正仿宋_GBK" w:cs="Times New Roman"/>
          <w:color w:val="auto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auto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44"/>
          <w:sz w:val="44"/>
          <w:szCs w:val="44"/>
          <w:lang w:val="en-US" w:eastAsia="zh-CN" w:bidi="ar-SA"/>
        </w:rPr>
        <w:t>重庆市巴南区减灾委员会办公室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44"/>
          <w:sz w:val="44"/>
          <w:szCs w:val="44"/>
          <w:lang w:val="en-US" w:eastAsia="zh-CN" w:bidi="ar-SA"/>
        </w:rPr>
        <w:t>关于印发镇街村社极端天气灾害防范应对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44"/>
          <w:sz w:val="44"/>
          <w:szCs w:val="44"/>
          <w:lang w:val="en-US" w:eastAsia="zh-CN" w:bidi="ar-SA"/>
        </w:rPr>
        <w:t>双十一条工作举措的通知</w:t>
      </w:r>
    </w:p>
    <w:p>
      <w:pPr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  <w:t>各镇人民政府、街道办事处，区减灾委成员单位：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firstLine="63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  <w:t xml:space="preserve">为深入贯彻落实习近平总书记关于防汛救灾工作的重要指示精神，结合我区实际，区减灾委办公室制定《镇街、村社极端天气灾害防范应对双十一条工作举措》，现印发给你们，请认真抓好落实。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firstLine="3792" w:firstLineChars="1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巴南区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减灾委员会办公室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2"/>
        <w:jc w:val="both"/>
        <w:rPr>
          <w:rFonts w:hint="eastAsia" w:eastAsia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（此件公开发布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街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  <w:t>、村社极端天气灾害防范应对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  <w:t>双十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  <w:t>条工作举措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3476" w:hangingChars="1100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 w:themeColor="text1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594" w:lineRule="exact"/>
        <w:ind w:firstLine="632" w:firstLineChars="200"/>
        <w:jc w:val="both"/>
        <w:textAlignment w:val="auto"/>
        <w:outlineLvl w:val="0"/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 w:val="32"/>
          <w:szCs w:val="32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经对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年、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年极端天气应对处置情况复盘，我区极端天气大概率出现在夜间或凌晨，在思想上容易麻痹，同时极端天气极易快速形成山洪、内涝，导致区域性停电停水以及道路损毁，对通讯、支援救援带来较大的影响。为进一步强化镇街、村社应对极端天气工作的主动性、自主性，切实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做好短临极端天气引发的小流域山洪、地质灾害、城市内涝等防范应对工作，按照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区防汛抗旱应急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 xml:space="preserve">预案有关要求，制定本工作举措。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181717" w:themeColor="background2" w:themeShade="1A"/>
          <w:szCs w:val="32"/>
          <w:shd w:val="clear" w:color="auto" w:fill="auto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181717" w:themeColor="background2" w:themeShade="1A"/>
          <w:szCs w:val="32"/>
          <w:shd w:val="clear" w:color="auto" w:fill="auto"/>
        </w:rPr>
        <w:t xml:space="preserve">工作目标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不死人、少伤人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少损失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181717" w:themeColor="background2" w:themeShade="1A"/>
          <w:szCs w:val="32"/>
          <w:shd w:val="clear" w:color="auto" w:fill="auto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181717" w:themeColor="background2" w:themeShade="1A"/>
          <w:szCs w:val="32"/>
          <w:shd w:val="clear" w:color="auto" w:fill="auto"/>
        </w:rPr>
        <w:t xml:space="preserve">工作要求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落实“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区级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统筹，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镇街主抓，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村自为战，充分授权，一线决策”，提高基层单位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应对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极端天气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 xml:space="preserve">能力。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firstLine="632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181717" w:themeColor="background2" w:themeShade="1A"/>
          <w:szCs w:val="32"/>
          <w:shd w:val="clear" w:color="auto" w:fill="auto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181717" w:themeColor="background2" w:themeShade="1A"/>
          <w:szCs w:val="32"/>
          <w:shd w:val="clear" w:color="auto" w:fill="auto"/>
        </w:rPr>
        <w:t xml:space="preserve">启动条件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当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区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气象部门发布暴雨等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级蓝色预警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时，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镇街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、村社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应启动预案、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加强值班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值守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应急救援力量备勤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，通知单位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主要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领导做好启动短临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极端天气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处置准备。当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区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气象部门发布暴雨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黄色等及以上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预警信号或虽未接到气象预警信号，但发现险情征兆或已出现灾情险情，由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eastAsia="zh-CN"/>
        </w:rPr>
        <w:t>镇街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 xml:space="preserve">、村社启动极端天气灾害应对机制。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firstLine="632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181717" w:themeColor="background2" w:themeShade="1A"/>
          <w:szCs w:val="32"/>
          <w:shd w:val="clear" w:color="auto" w:fill="auto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181717" w:themeColor="background2" w:themeShade="1A"/>
          <w:szCs w:val="32"/>
          <w:shd w:val="clear" w:color="auto" w:fill="auto"/>
        </w:rPr>
        <w:t xml:space="preserve">工作举措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镇街</w:t>
      </w:r>
      <w:r>
        <w:rPr>
          <w:rFonts w:hint="eastAsia" w:ascii="方正楷体_GBK" w:hAnsi="方正楷体_GBK" w:eastAsia="方正楷体_GBK" w:cs="方正楷体_GBK"/>
          <w:b w:val="0"/>
          <w:bCs/>
          <w:color w:val="181717" w:themeColor="background2" w:themeShade="1A"/>
          <w:szCs w:val="32"/>
          <w:shd w:val="clear" w:color="auto" w:fill="auto"/>
        </w:rPr>
        <w:t>级（</w:t>
      </w:r>
      <w:r>
        <w:rPr>
          <w:rFonts w:hint="default" w:ascii="Times New Roman" w:hAnsi="Times New Roman" w:eastAsia="方正楷体_GBK" w:cs="Times New Roman"/>
          <w:b w:val="0"/>
          <w:bCs/>
          <w:color w:val="181717" w:themeColor="background2" w:themeShade="1A"/>
          <w:szCs w:val="32"/>
          <w:shd w:val="clear" w:color="auto" w:fill="auto"/>
        </w:rPr>
        <w:t>1</w:t>
      </w:r>
      <w:r>
        <w:rPr>
          <w:rFonts w:hint="default" w:ascii="Times New Roman" w:hAnsi="Times New Roman" w:eastAsia="方正楷体_GBK" w:cs="Times New Roman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b w:val="0"/>
          <w:bCs/>
          <w:color w:val="181717" w:themeColor="background2" w:themeShade="1A"/>
          <w:szCs w:val="32"/>
          <w:shd w:val="clear" w:color="auto" w:fill="auto"/>
        </w:rPr>
        <w:t>条）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到岗值守。启动应对机制后，暴雨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黄色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预警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所属镇街一名主要领导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到岗指挥，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当发布橙色及以上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预警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eastAsia="zh-CN"/>
        </w:rPr>
        <w:t>镇街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党政主要领导均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到岗指挥。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.巡查检查。利用视频监控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监测设备、人工巡查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等方式加大地质灾害易发点、小流域山洪影响区、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农房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、山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坪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塘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水库等重要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区域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 xml:space="preserve">巡查检查。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.风险研判。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要高度重视气象发布的</w:t>
      </w:r>
      <w:r>
        <w:rPr>
          <w:rFonts w:hint="default" w:ascii="Times New Roman" w:hAnsi="Times New Roman" w:eastAsia="方正仿宋_GBK" w:cs="Times New Roman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小时、</w:t>
      </w:r>
      <w:r>
        <w:rPr>
          <w:rFonts w:hint="default" w:ascii="Times New Roman" w:hAnsi="Times New Roman" w:eastAsia="方正仿宋_GBK" w:cs="Times New Roman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小时预警，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 xml:space="preserve">按照危险区域分级管理，迅速确定需转移的区域和需转移的人员名单。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叫应叫醒。接到预警信息或发现险情时，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根据确定的转移区域、人员及时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叫应叫醒下辖村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社区。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181717" w:themeColor="background2" w:themeShade="1A"/>
          <w:szCs w:val="32"/>
          <w:shd w:val="clear" w:color="auto" w:fill="auto"/>
        </w:rPr>
        <w:t>5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.人员转移。按风险研判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明确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转移名单，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及时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发布转移命令并督促到位，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严格落实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“三个必转”（达到预警值时必须转移、发生险情异动时必须转移、险情不能准确研判时必须转移）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并尽可能确保在白天转移到位，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对不服从转移命令的人员可采取强制转移措施，确保“应转尽转、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应转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早转”。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181717" w:themeColor="background2" w:themeShade="1A"/>
          <w:szCs w:val="32"/>
          <w:shd w:val="clear" w:color="auto" w:fill="auto"/>
        </w:rPr>
        <w:t>6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.风险管控。必要时可采取“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停”措施（停工、停业、停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学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停航、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停运、停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游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 xml:space="preserve">）。发布管控指令，督促村社对危险区域采取措施禁止无关人员进入。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181717" w:themeColor="background2" w:themeShade="1A"/>
          <w:szCs w:val="32"/>
          <w:shd w:val="clear" w:color="auto" w:fill="auto"/>
        </w:rPr>
        <w:t>7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.应急救援。组织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eastAsia="zh-CN"/>
        </w:rPr>
        <w:t>镇街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、村社等救援队伍开展应急救援工作，确保人员生命安全，必要时提请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区防汛抗旱指挥部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 xml:space="preserve">派遣增援力量。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181717" w:themeColor="background2" w:themeShade="1A"/>
          <w:szCs w:val="32"/>
          <w:shd w:val="clear" w:color="auto" w:fill="auto"/>
        </w:rPr>
        <w:t>8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.安置保障。通知开放避灾安置点，做好已转移人员管控，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经区规资局地质工程师评估，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险情解除确认安全后方可返回。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181717" w:themeColor="background2" w:themeShade="1A"/>
          <w:szCs w:val="32"/>
          <w:shd w:val="clear" w:color="auto" w:fill="auto"/>
        </w:rPr>
        <w:t>9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.信息报送。发生险情、灾情先电话等方式报告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相关主管部门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 xml:space="preserve">，后书面报告。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181717" w:themeColor="background2" w:themeShade="1A"/>
          <w:szCs w:val="32"/>
          <w:shd w:val="clear" w:color="auto" w:fill="auto"/>
        </w:rPr>
        <w:t>10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.宣传引导。发生险情、灾情时要严肃纪律，统一口径，及时正面宣传引导。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.报灾核灾。灾情发生后，镇街要组织干部对村社灾情实事求是核灾报灾，不得虚报、漏报、瞒报。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181717" w:themeColor="background2" w:themeShade="1A"/>
          <w:szCs w:val="32"/>
          <w:shd w:val="clear" w:color="auto" w:fill="auto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181717" w:themeColor="background2" w:themeShade="1A"/>
          <w:szCs w:val="32"/>
          <w:shd w:val="clear" w:color="auto" w:fill="auto"/>
        </w:rPr>
        <w:t>（二）村社级（</w:t>
      </w:r>
      <w:r>
        <w:rPr>
          <w:rFonts w:hint="default" w:ascii="Times New Roman" w:hAnsi="Times New Roman" w:eastAsia="方正楷体_GBK" w:cs="Times New Roman"/>
          <w:b w:val="0"/>
          <w:bCs/>
          <w:color w:val="181717" w:themeColor="background2" w:themeShade="1A"/>
          <w:szCs w:val="32"/>
          <w:shd w:val="clear" w:color="auto" w:fill="auto"/>
        </w:rPr>
        <w:t>1</w:t>
      </w:r>
      <w:r>
        <w:rPr>
          <w:rFonts w:hint="default" w:ascii="Times New Roman" w:hAnsi="Times New Roman" w:eastAsia="方正楷体_GBK" w:cs="Times New Roman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b w:val="0"/>
          <w:bCs/>
          <w:color w:val="181717" w:themeColor="background2" w:themeShade="1A"/>
          <w:szCs w:val="32"/>
          <w:shd w:val="clear" w:color="auto" w:fill="auto"/>
        </w:rPr>
        <w:t xml:space="preserve">条）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181717" w:themeColor="background2" w:themeShade="1A"/>
          <w:szCs w:val="32"/>
          <w:shd w:val="clear" w:color="auto" w:fill="auto"/>
        </w:rPr>
        <w:t>1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 xml:space="preserve">.到岗值守。启动短临应对机制后，村社主要负责人落实第一责任，到岗值守，组织指挥，保持通信畅通。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.加强巡查。确保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群测群防员、网格员等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工作人员安全前提下，加大地质灾害易发点、小流域山洪风险区、危旧房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农房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等巡查检查，有条件的村可以安装视频监控。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.自救互救。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提前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宣传动员发动，组织群众开展自救互救，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建立“十户联防”，邻里结对，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 xml:space="preserve">互帮互助，共渡难关。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 xml:space="preserve">.预警到位。用好信息化渠道开展预警，同步采用大喇叭、警报器、广播、铜锣等方式告知群众，确保预警到户到人。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.人员转移。根据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eastAsia="zh-CN"/>
        </w:rPr>
        <w:t>镇街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命令或实际险情，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第一时间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组织危险区人员就近转移、投亲靠友转移、避灾场所安置转移等多种方式转移，必要时扩面转移其他人员。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 xml:space="preserve">.临时管控。可采用临时、简易等方式做好涉险交通道路、地质灾害风险防范区等的管控，严防人员伤亡。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.先期处置。发生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灾（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险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情第一时间开展先期处置工作，有关情况上报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镇街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 xml:space="preserve">.紧急抢险。组织党员、退役军人等力量开展抢险救援工作，必要时提请上级增援。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.安置保障。每个村必须明确避灾安置点或临时避灾安置场所，及时有序开放，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强化管控，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 xml:space="preserve">防止已转移人员擅自返回。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181717" w:themeColor="background2" w:themeShade="1A"/>
          <w:szCs w:val="32"/>
          <w:shd w:val="clear" w:color="auto" w:fill="auto"/>
        </w:rPr>
        <w:t>10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.信息报告。发生险情灾情第一时间报告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eastAsia="zh-CN"/>
        </w:rPr>
        <w:t>镇街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.查灾报灾。灾情后，村社要第一时间查看灾情，做好灾情记录，并向镇街报告。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181717" w:themeColor="background2" w:themeShade="1A"/>
          <w:szCs w:val="32"/>
          <w:shd w:val="clear" w:color="auto" w:fill="auto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181717" w:themeColor="background2" w:themeShade="1A"/>
          <w:szCs w:val="32"/>
          <w:shd w:val="clear" w:color="auto" w:fill="auto"/>
        </w:rPr>
        <w:t xml:space="preserve">五、保障措施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181717" w:themeColor="background2" w:themeShade="1A"/>
          <w:szCs w:val="32"/>
          <w:shd w:val="clear" w:color="auto" w:fill="auto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加强</w:t>
      </w:r>
      <w:r>
        <w:rPr>
          <w:rFonts w:hint="eastAsia" w:ascii="方正楷体_GBK" w:hAnsi="方正楷体_GBK" w:eastAsia="方正楷体_GBK" w:cs="方正楷体_GBK"/>
          <w:b w:val="0"/>
          <w:bCs/>
          <w:color w:val="181717" w:themeColor="background2" w:themeShade="1A"/>
          <w:szCs w:val="32"/>
          <w:shd w:val="clear" w:color="auto" w:fill="auto"/>
        </w:rPr>
        <w:t>气象保障。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区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气象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局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持续加大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监测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点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的精细化监测，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尽可能做好预报预警的提前量，细化预报颗粒度。加大监测预警信息共享力度，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及时发布到巴南媒体、渝快政、微信群、短信等，尽可能的扩大气象受众面。重要气象专报报送区委、区政府。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181717" w:themeColor="background2" w:themeShade="1A"/>
          <w:szCs w:val="32"/>
          <w:shd w:val="clear" w:color="auto" w:fill="auto"/>
        </w:rPr>
        <w:t>（二）落实两张清单。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镇街要建立各村居主要隐患区域台账，根据台账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相应制定并落实好“两张清单”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以及做好“隐患点+风险区”双控责任落实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，规资、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水利、住建、城管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等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行业主管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部门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要主动对接，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做好指导工作。一是风险管控清单。做好小流域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涨水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、地质灾害点、山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坪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塘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水库、山洪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灾害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点等风险管控清单，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eastAsia="zh-CN"/>
        </w:rPr>
        <w:t>镇街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、村社还要结合实际，排摸出潜在风险，主要以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江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边、河边、山边以及低洼处，做到灾情来临时风险区域心中有数，设置明显的警示标识；二是临时转移场所清单。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eastAsia="zh-CN"/>
        </w:rPr>
        <w:t>镇街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、村社在风险区周边提前评估确定一些结构安全房屋建筑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以及空旷安全的区域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纳入临时转移场所清单，遇极端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天气启用就近临时避灾场所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 xml:space="preserve">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181717" w:themeColor="background2" w:themeShade="1A"/>
          <w:szCs w:val="32"/>
          <w:shd w:val="clear" w:color="auto" w:fill="auto"/>
        </w:rPr>
        <w:t>（三）强化自主决策。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明确在短临极端天气灾害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强降雨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应对处置期间，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eastAsia="zh-CN"/>
        </w:rPr>
        <w:t>镇街、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村社可因地制宜、灵活机动自主决策。镇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街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、村主要负责人可根据预警信息，果断决策、果断转移、果断应对，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  <w:lang w:val="en-US" w:eastAsia="zh-CN"/>
        </w:rPr>
        <w:t>确保第一时间将人员安全转移。要充分发挥党员干部先锋模范和战斗堡垒作用，坚决守住“不死人、少伤人、少损失”的目标</w:t>
      </w:r>
      <w:r>
        <w:rPr>
          <w:rFonts w:hint="eastAsia" w:ascii="方正仿宋_GBK" w:hAnsi="方正仿宋_GBK" w:eastAsia="方正仿宋_GBK" w:cs="方正仿宋_GBK"/>
          <w:b w:val="0"/>
          <w:bCs/>
          <w:color w:val="181717" w:themeColor="background2" w:themeShade="1A"/>
          <w:szCs w:val="32"/>
          <w:shd w:val="clear" w:color="auto" w:fill="auto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181717" w:themeColor="background2" w:themeShade="1A"/>
          <w:szCs w:val="32"/>
          <w:shd w:val="clear" w:color="auto" w:fill="auto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firstLine="552" w:firstLineChars="200"/>
        <w:textAlignment w:val="auto"/>
        <w:outlineLvl w:val="9"/>
        <w:rPr>
          <w:rFonts w:hint="eastAsia"/>
          <w:spacing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重庆市巴南区减灾委员会办公室</w:t>
      </w:r>
      <w:r>
        <w:rPr>
          <w:rFonts w:hint="eastAsia" w:ascii="方正仿宋_GBK" w:hAnsi="方正仿宋_GBK" w:cs="方正仿宋_GBK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 xml:space="preserve">              </w:t>
      </w:r>
      <w:r>
        <w:rPr>
          <w:rFonts w:hint="default" w:ascii="Times New Roman" w:hAnsi="Times New Roman" w:cs="Times New Roman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2024</w:t>
      </w:r>
      <w:r>
        <w:rPr>
          <w:rFonts w:hint="eastAsia" w:ascii="方正仿宋_GBK" w:hAnsi="方正仿宋_GBK" w:cs="方正仿宋_GBK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年</w:t>
      </w:r>
      <w:r>
        <w:rPr>
          <w:rFonts w:hint="default" w:ascii="Times New Roman" w:hAnsi="Times New Roman" w:cs="Times New Roman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7</w:t>
      </w:r>
      <w:r>
        <w:rPr>
          <w:rFonts w:hint="eastAsia" w:ascii="方正仿宋_GBK" w:hAnsi="方正仿宋_GBK" w:cs="方正仿宋_GBK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月</w:t>
      </w:r>
      <w:r>
        <w:rPr>
          <w:rFonts w:hint="default" w:ascii="Times New Roman" w:hAnsi="Times New Roman" w:cs="Times New Roman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30</w:t>
      </w:r>
      <w:r>
        <w:rPr>
          <w:rFonts w:hint="eastAsia" w:ascii="方正仿宋_GBK" w:hAnsi="方正仿宋_GBK" w:cs="方正仿宋_GBK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日印发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1474" w:gutter="0"/>
      <w:pgNumType w:fmt="numberInDash"/>
      <w:cols w:space="0" w:num="1"/>
      <w:rtlGutter w:val="0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lear" w:pos="4153"/>
        <w:tab w:val="clear" w:pos="8306"/>
      </w:tabs>
      <w:wordWrap w:val="0"/>
      <w:ind w:firstLine="180" w:firstLineChars="100"/>
      <w:jc w:val="right"/>
      <w:rPr>
        <w:rFonts w:hint="default" w:eastAsia="宋体"/>
        <w:sz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vertAlign w:val="baseline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vertAlign w:val="baseline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vertAlign w:val="baseline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vertAlign w:val="baseline"/>
                              <w:lang w:eastAsia="zh-CN"/>
                            </w:rPr>
                            <w:t>- 7 -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vertAlign w:val="baseline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vertAlign w:val="baseline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vertAlign w:val="baseline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vertAlign w:val="baseline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vertAlign w:val="baseline"/>
                        <w:lang w:eastAsia="zh-CN"/>
                      </w:rPr>
                      <w:t>- 7 -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vertAlign w:val="baseline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-819785</wp:posOffset>
              </wp:positionH>
              <wp:positionV relativeFrom="paragraph">
                <wp:posOffset>-1155700</wp:posOffset>
              </wp:positionV>
              <wp:extent cx="620395" cy="163258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213360" y="5076825"/>
                        <a:ext cx="620395" cy="1632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4.55pt;margin-top:-91pt;height:128.55pt;width:48.85pt;z-index:251664384;mso-width-relative:page;mso-height-relative:page;" filled="f" stroked="f" coordsize="21600,21600" o:gfxdata="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HBEadsAAAAMAQAADwAAAAAAAAABACAAAAAiAAAAZHJzL2Rvd25yZXYueG1s&#10;UEsBAhQAFAAAAAgAh07iQHbai+8uAgAAJQQAAA4AAAAAAAAAAQAgAAAAK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style="layout-flow:vertical-ideographic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E1A5"/>
    <w:multiLevelType w:val="singleLevel"/>
    <w:tmpl w:val="052BE1A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AB3FA5E"/>
    <w:multiLevelType w:val="singleLevel"/>
    <w:tmpl w:val="6AB3FA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A5410"/>
    <w:rsid w:val="03D71553"/>
    <w:rsid w:val="0D833D1D"/>
    <w:rsid w:val="17B504DF"/>
    <w:rsid w:val="3B6E44B2"/>
    <w:rsid w:val="3FDE55D1"/>
    <w:rsid w:val="47745481"/>
    <w:rsid w:val="55AD07B1"/>
    <w:rsid w:val="693A4F69"/>
    <w:rsid w:val="6E0A5410"/>
    <w:rsid w:val="736D02DE"/>
    <w:rsid w:val="7CBC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adjustRightInd w:val="0"/>
      <w:snapToGrid/>
      <w:spacing w:beforeLines="0" w:beforeAutospacing="0" w:afterLines="0" w:afterAutospacing="0" w:line="590" w:lineRule="exact"/>
      <w:jc w:val="center"/>
      <w:outlineLvl w:val="0"/>
    </w:pPr>
    <w:rPr>
      <w:rFonts w:eastAsia="方正小标宋_GBK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索引 5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UserStyle_0"/>
    <w:basedOn w:val="1"/>
    <w:qFormat/>
    <w:uiPriority w:val="0"/>
    <w:pPr>
      <w:ind w:firstLine="200" w:firstLineChars="200"/>
    </w:pPr>
    <w:rPr>
      <w:rFonts w:ascii="Calibri" w:hAnsi="Calibri" w:eastAsia="宋体" w:cs="Times New Roman"/>
      <w:color w:val="000000"/>
      <w:szCs w:val="21"/>
    </w:rPr>
  </w:style>
  <w:style w:type="paragraph" w:customStyle="1" w:styleId="10">
    <w:name w:val="Default"/>
    <w:next w:val="1"/>
    <w:qFormat/>
    <w:uiPriority w:val="0"/>
    <w:pPr>
      <w:widowControl w:val="0"/>
      <w:autoSpaceDE w:val="0"/>
      <w:autoSpaceDN w:val="0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paragraph" w:customStyle="1" w:styleId="11">
    <w:name w:val="批注框文本1"/>
    <w:basedOn w:val="1"/>
    <w:qFormat/>
    <w:uiPriority w:val="0"/>
    <w:rPr>
      <w:sz w:val="18"/>
      <w:szCs w:val="18"/>
    </w:rPr>
  </w:style>
  <w:style w:type="character" w:customStyle="1" w:styleId="12">
    <w:name w:val="NormalCharacter"/>
    <w:link w:val="1"/>
    <w:qFormat/>
    <w:uiPriority w:val="0"/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13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巴南区安监局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2024-01-22T01:11:00Z</dcterms:created>
  <dc:creator>Administrator</dc:creator>
  <cp:lastModifiedBy>Administrator</cp:lastModifiedBy>
  <cp:lastPrinted>2024-03-29T02:00:00Z</cp:lastPrinted>
  <dcterms:modified xsi:type="dcterms:W3CDTF">2024-07-30T06:51:38Z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