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黑体_GBK" w:hAnsi="方正黑体_GBK" w:eastAsia="方正黑体_GBK" w:cs="方正黑体_GBK"/>
          <w:spacing w:val="-10"/>
          <w:sz w:val="32"/>
          <w:szCs w:val="32"/>
        </w:rPr>
      </w:pPr>
      <w:r>
        <w:rPr>
          <w:rFonts w:hint="eastAsia" w:ascii="方正黑体_GBK" w:hAnsi="方正黑体_GBK" w:eastAsia="方正黑体_GBK" w:cs="方正黑体_GBK"/>
          <w:spacing w:val="-10"/>
          <w:sz w:val="32"/>
          <w:szCs w:val="32"/>
        </w:rPr>
        <w:t>附件：</w:t>
      </w:r>
    </w:p>
    <w:p>
      <w:pPr>
        <w:spacing w:line="540" w:lineRule="exact"/>
        <w:ind w:firstLine="640" w:firstLineChars="200"/>
        <w:rPr>
          <w:rFonts w:eastAsia="方正黑体_GBK"/>
          <w:sz w:val="32"/>
          <w:szCs w:val="32"/>
        </w:rPr>
      </w:pPr>
    </w:p>
    <w:p>
      <w:pPr>
        <w:spacing w:line="600" w:lineRule="exact"/>
        <w:jc w:val="center"/>
        <w:rPr>
          <w:rFonts w:eastAsia="方正小标宋_GBK"/>
          <w:spacing w:val="-6"/>
          <w:sz w:val="44"/>
          <w:szCs w:val="44"/>
        </w:rPr>
      </w:pPr>
      <w:r>
        <w:rPr>
          <w:rFonts w:hint="eastAsia" w:ascii="方正小标宋_GBK" w:hAnsi="方正小标宋_GBK" w:eastAsia="方正小标宋_GBK" w:cs="方正小标宋_GBK"/>
          <w:spacing w:val="-6"/>
          <w:sz w:val="44"/>
          <w:szCs w:val="44"/>
        </w:rPr>
        <w:t>2020年度巴南区招商投资促进工作考核方案</w:t>
      </w:r>
    </w:p>
    <w:p>
      <w:pPr>
        <w:spacing w:line="600" w:lineRule="exact"/>
        <w:jc w:val="center"/>
        <w:rPr>
          <w:rFonts w:eastAsia="方正小标宋_GBK"/>
          <w:sz w:val="44"/>
          <w:szCs w:val="44"/>
        </w:rPr>
      </w:pPr>
    </w:p>
    <w:p>
      <w:pPr>
        <w:spacing w:line="600"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一、考核对象</w:t>
      </w:r>
    </w:p>
    <w:p>
      <w:pPr>
        <w:spacing w:line="600" w:lineRule="exact"/>
        <w:ind w:firstLine="63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《重庆市巴南区人民政府办公室关于分解落实2020年全区招商投资目标任务的通知》（巴南府办发〔2020〕50号）中的专业招商小组责任单位。考核分为园区平台公司组和区级部门组，满分为100分。</w:t>
      </w:r>
    </w:p>
    <w:p>
      <w:pPr>
        <w:spacing w:line="600"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二、考核内容</w:t>
      </w:r>
    </w:p>
    <w:p>
      <w:pPr>
        <w:spacing w:line="600" w:lineRule="exact"/>
        <w:ind w:firstLine="63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考核指标包括招商指标、投资指标2个方面，分别含正式合同额、到位资金2项指标。区属国有公司组2项指标分别占比50%、50%；区级部门组正式合同额指标占比100%，不考核到位资金。单位主要领导带队招商及项目策划储备只通报，不纳入考核。</w:t>
      </w:r>
    </w:p>
    <w:p>
      <w:pPr>
        <w:spacing w:line="600" w:lineRule="exact"/>
        <w:ind w:firstLine="63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（二）正式合同额指被考核单位当期纳入重庆市招商投资促进市对区考核统计的签约项目正式合同额。</w:t>
      </w:r>
    </w:p>
    <w:p>
      <w:pPr>
        <w:spacing w:line="600" w:lineRule="exact"/>
        <w:ind w:firstLine="640" w:firstLineChars="200"/>
        <w:rPr>
          <w:rFonts w:ascii="方正仿宋_GBK" w:hAnsi="方正仿宋_GBK" w:eastAsia="方正仿宋_GBK" w:cs="方正仿宋_GBK"/>
        </w:rPr>
      </w:pPr>
      <w:r>
        <w:rPr>
          <w:rFonts w:hint="eastAsia" w:ascii="方正仿宋_GBK" w:hAnsi="方正仿宋_GBK" w:eastAsia="方正仿宋_GBK" w:cs="方正仿宋_GBK"/>
          <w:sz w:val="32"/>
          <w:szCs w:val="32"/>
        </w:rPr>
        <w:t>（三）到位资金指被考核单位当期纳入重庆市招商投资促进市对区考核统计的招商项目今年的到位资金额。</w:t>
      </w:r>
    </w:p>
    <w:p>
      <w:pPr>
        <w:pStyle w:val="2"/>
        <w:spacing w:line="600" w:lineRule="exact"/>
        <w:ind w:firstLine="640" w:firstLineChars="200"/>
        <w:rPr>
          <w:rFonts w:ascii="方正黑体_GBK" w:hAnsi="方正黑体_GBK" w:cs="方正黑体_GBK"/>
          <w:b w:val="0"/>
          <w:bCs w:val="0"/>
          <w:color w:val="000000" w:themeColor="text1"/>
          <w:sz w:val="32"/>
          <w:szCs w:val="32"/>
        </w:rPr>
      </w:pPr>
      <w:r>
        <w:rPr>
          <w:rFonts w:hint="eastAsia" w:ascii="方正黑体_GBK" w:hAnsi="方正黑体_GBK" w:cs="方正黑体_GBK"/>
          <w:b w:val="0"/>
          <w:bCs w:val="0"/>
          <w:color w:val="000000" w:themeColor="text1"/>
          <w:sz w:val="32"/>
          <w:szCs w:val="32"/>
        </w:rPr>
        <w:t>三、计分规则</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（一）正式合同额和到位资金按“完成率×考核指标权重”计算得分。</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（二）正式合同额、到位资金完成率按“被考核单位纳入市对区考核统计额/目标额”计算，最高不超过100%。</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（三）正式合同额以区级部门主导签约的项目，区级部门、落地区属国有公司均按投资额100%计；以区级部门积极参与研判推进签约的项目，区级部门按投资额50%计、园区平台公司按投资额100%计。</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themeColor="text1"/>
          <w:sz w:val="32"/>
          <w:szCs w:val="32"/>
        </w:rPr>
        <w:t>四、数据来源</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正式合同额由被考核单位诚信填报，由被考核单位线上提供投资合同。投资合同包括签字、盖章、日期、骑缝章等4个硬性要求及投资金额、建设内容、投资计划和时间、权利义务、违约责任等5个必备要素。</w:t>
      </w:r>
    </w:p>
    <w:p>
      <w:pPr>
        <w:spacing w:line="600" w:lineRule="exact"/>
        <w:ind w:firstLine="640" w:firstLineChars="200"/>
        <w:rPr>
          <w:rFonts w:ascii="方正黑体_GBK" w:hAnsi="方正黑体_GBK" w:eastAsia="方正黑体_GBK" w:cs="方正黑体_GBK"/>
          <w:color w:val="000000" w:themeColor="text1"/>
          <w:sz w:val="32"/>
          <w:szCs w:val="32"/>
        </w:rPr>
      </w:pPr>
      <w:r>
        <w:rPr>
          <w:rFonts w:hint="eastAsia" w:ascii="方正仿宋_GBK" w:hAnsi="方正仿宋_GBK" w:eastAsia="方正仿宋_GBK" w:cs="方正仿宋_GBK"/>
          <w:sz w:val="32"/>
          <w:szCs w:val="32"/>
        </w:rPr>
        <w:t>（二）纳入区统计局统计的固投项目的到位资金，由区统计局提供。未纳入的，由被考核单位线上提供项目转账银行回单。</w:t>
      </w:r>
    </w:p>
    <w:p>
      <w:pPr>
        <w:spacing w:line="600"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五、工作机制</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（一）实行周汇总，每周向区领导专报被考核单位新洽谈储备、重点跟进签约及促建开工项目的进展情况并召开招商项目调度会，统筹协调推进重点招商项目。</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（二）实行月统计通报，被考核单位每月25日前将本月指标数据报送区招商投资局审核汇总。区招商投资局每月初对各园区平台公司分解当月需努力完成签约、跟进到位资金的目标任务，同时在</w:t>
      </w:r>
      <w:r>
        <w:rPr>
          <w:rFonts w:hint="eastAsia" w:ascii="方正仿宋_GBK" w:hAnsi="方正仿宋_GBK" w:eastAsia="方正仿宋_GBK" w:cs="方正仿宋_GBK"/>
          <w:color w:val="000000" w:themeColor="text1"/>
          <w:sz w:val="32"/>
          <w:szCs w:val="32"/>
        </w:rPr>
        <w:t>工贸管委会等三大管委会上通报被考核单位招商投资指标完成情况</w:t>
      </w:r>
      <w:r>
        <w:rPr>
          <w:rFonts w:hint="eastAsia" w:ascii="方正仿宋_GBK" w:hAnsi="方正仿宋_GBK" w:eastAsia="方正仿宋_GBK" w:cs="方正仿宋_GBK"/>
          <w:sz w:val="32"/>
          <w:szCs w:val="32"/>
        </w:rPr>
        <w:t>。</w:t>
      </w:r>
    </w:p>
    <w:p>
      <w:pPr>
        <w:spacing w:line="600"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（三）双月点评，双月在区政府常务会议、区委常委会议上，对被考核单位招商投资指标完成情况进行通报、点评。</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（四）年终考核，按照考核细则严格逗硬打分，对超额完成目标任务的被考核单位及对区招商投资促建工作作出重要贡献的相关单位给予额外加分激励。</w:t>
      </w:r>
    </w:p>
    <w:p>
      <w:pPr>
        <w:spacing w:line="600" w:lineRule="exact"/>
        <w:rPr>
          <w:rFonts w:ascii="方正仿宋_GBK" w:hAnsi="方正仿宋_GBK" w:eastAsia="方正仿宋_GBK" w:cs="方正仿宋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附件：巴南区2020年度招商投资促进工作考核指标</w:t>
      </w:r>
    </w:p>
    <w:p>
      <w:pPr>
        <w:spacing w:line="580" w:lineRule="exact"/>
        <w:ind w:firstLine="640" w:firstLineChars="200"/>
        <w:rPr>
          <w:rFonts w:eastAsia="方正仿宋_GBK"/>
          <w:sz w:val="32"/>
          <w:szCs w:val="32"/>
        </w:rPr>
      </w:pPr>
    </w:p>
    <w:p>
      <w:pPr>
        <w:spacing w:line="600" w:lineRule="exact"/>
        <w:ind w:firstLine="640" w:firstLineChars="200"/>
        <w:rPr>
          <w:rFonts w:hint="eastAsia" w:ascii="方正仿宋_GBK" w:hAnsi="方正仿宋_GBK" w:eastAsia="方正仿宋_GBK" w:cs="方正仿宋_GBK"/>
          <w:sz w:val="32"/>
          <w:szCs w:val="32"/>
        </w:rPr>
        <w:sectPr>
          <w:footerReference r:id="rId5" w:type="first"/>
          <w:footerReference r:id="rId3" w:type="default"/>
          <w:footerReference r:id="rId4" w:type="even"/>
          <w:pgSz w:w="11906" w:h="16838"/>
          <w:pgMar w:top="2098" w:right="1531" w:bottom="1985" w:left="1531" w:header="851" w:footer="1418" w:gutter="0"/>
          <w:pgNumType w:fmt="numberInDash"/>
          <w:cols w:space="425" w:num="1"/>
          <w:docGrid w:type="lines" w:linePitch="579" w:charSpace="21679"/>
        </w:sectPr>
      </w:pPr>
      <w:bookmarkStart w:id="0" w:name="_GoBack"/>
      <w:bookmarkEnd w:id="0"/>
      <w:r>
        <w:rPr>
          <w:rFonts w:hint="eastAsia" w:ascii="方正仿宋_GBK" w:hAnsi="方正仿宋_GBK" w:eastAsia="方正仿宋_GBK" w:cs="方正仿宋_GBK"/>
          <w:sz w:val="32"/>
          <w:szCs w:val="32"/>
        </w:rPr>
        <w:t>（此件删减后公开）</w:t>
      </w:r>
    </w:p>
    <w:tbl>
      <w:tblPr>
        <w:tblStyle w:val="8"/>
        <w:tblW w:w="13880" w:type="dxa"/>
        <w:jc w:val="center"/>
        <w:tblInd w:w="0" w:type="dxa"/>
        <w:tblLayout w:type="fixed"/>
        <w:tblCellMar>
          <w:top w:w="0" w:type="dxa"/>
          <w:left w:w="0" w:type="dxa"/>
          <w:bottom w:w="0" w:type="dxa"/>
          <w:right w:w="0" w:type="dxa"/>
        </w:tblCellMar>
      </w:tblPr>
      <w:tblGrid>
        <w:gridCol w:w="645"/>
        <w:gridCol w:w="1110"/>
        <w:gridCol w:w="2295"/>
        <w:gridCol w:w="1290"/>
        <w:gridCol w:w="1560"/>
        <w:gridCol w:w="1800"/>
        <w:gridCol w:w="2490"/>
        <w:gridCol w:w="1560"/>
        <w:gridCol w:w="1130"/>
      </w:tblGrid>
      <w:tr>
        <w:tblPrEx>
          <w:tblLayout w:type="fixed"/>
          <w:tblCellMar>
            <w:top w:w="0" w:type="dxa"/>
            <w:left w:w="0" w:type="dxa"/>
            <w:bottom w:w="0" w:type="dxa"/>
            <w:right w:w="0" w:type="dxa"/>
          </w:tblCellMar>
        </w:tblPrEx>
        <w:trPr>
          <w:trHeight w:val="760" w:hRule="atLeast"/>
          <w:jc w:val="center"/>
        </w:trPr>
        <w:tc>
          <w:tcPr>
            <w:tcW w:w="13880" w:type="dxa"/>
            <w:gridSpan w:val="9"/>
            <w:tcBorders>
              <w:top w:val="nil"/>
              <w:left w:val="nil"/>
              <w:bottom w:val="single" w:color="000000" w:sz="4" w:space="0"/>
              <w:right w:val="nil"/>
            </w:tcBorders>
            <w:shd w:val="clear" w:color="auto" w:fill="auto"/>
            <w:tcMar>
              <w:top w:w="15" w:type="dxa"/>
              <w:left w:w="15" w:type="dxa"/>
              <w:right w:w="15" w:type="dxa"/>
            </w:tcMar>
            <w:vAlign w:val="center"/>
          </w:tcPr>
          <w:p>
            <w:pPr>
              <w:widowControl/>
              <w:spacing w:line="560" w:lineRule="exact"/>
              <w:textAlignment w:val="center"/>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w:t>
            </w:r>
          </w:p>
          <w:p>
            <w:pPr>
              <w:widowControl/>
              <w:spacing w:line="560" w:lineRule="exact"/>
              <w:jc w:val="center"/>
              <w:textAlignment w:val="center"/>
              <w:rPr>
                <w:rFonts w:ascii="方正小标宋_GBK" w:hAnsi="方正小标宋_GBK" w:eastAsia="方正小标宋_GBK" w:cs="方正小标宋_GBK"/>
                <w:color w:val="000000"/>
                <w:kern w:val="0"/>
                <w:sz w:val="36"/>
                <w:szCs w:val="36"/>
              </w:rPr>
            </w:pPr>
          </w:p>
          <w:p>
            <w:pPr>
              <w:widowControl/>
              <w:spacing w:line="560" w:lineRule="exact"/>
              <w:jc w:val="center"/>
              <w:textAlignment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kern w:val="0"/>
                <w:sz w:val="36"/>
                <w:szCs w:val="36"/>
              </w:rPr>
              <w:t>巴南区2020年度招商投资促进工作考核指标</w:t>
            </w:r>
          </w:p>
        </w:tc>
      </w:tr>
      <w:tr>
        <w:tblPrEx>
          <w:tblLayout w:type="fixed"/>
          <w:tblCellMar>
            <w:top w:w="0" w:type="dxa"/>
            <w:left w:w="0" w:type="dxa"/>
            <w:bottom w:w="0" w:type="dxa"/>
            <w:right w:w="0" w:type="dxa"/>
          </w:tblCellMar>
        </w:tblPrEx>
        <w:trPr>
          <w:trHeight w:val="540"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类</w:t>
            </w:r>
            <w:r>
              <w:rPr>
                <w:rFonts w:hint="eastAsia" w:ascii="方正黑体_GBK" w:hAnsi="方正黑体_GBK" w:eastAsia="方正黑体_GBK" w:cs="方正黑体_GBK"/>
                <w:color w:val="000000"/>
                <w:kern w:val="0"/>
                <w:sz w:val="28"/>
                <w:szCs w:val="28"/>
              </w:rPr>
              <w:br w:type="textWrapping"/>
            </w:r>
            <w:r>
              <w:rPr>
                <w:rFonts w:hint="eastAsia" w:ascii="方正黑体_GBK" w:hAnsi="方正黑体_GBK" w:eastAsia="方正黑体_GBK" w:cs="方正黑体_GBK"/>
                <w:color w:val="000000"/>
                <w:kern w:val="0"/>
                <w:sz w:val="28"/>
                <w:szCs w:val="28"/>
              </w:rPr>
              <w:t>别</w:t>
            </w:r>
          </w:p>
        </w:tc>
        <w:tc>
          <w:tcPr>
            <w:tcW w:w="34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考核指标</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分指标及计算方式</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考核频次</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数据来源</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考核指标权重</w:t>
            </w:r>
          </w:p>
        </w:tc>
      </w:tr>
      <w:tr>
        <w:tblPrEx>
          <w:tblLayout w:type="fixed"/>
          <w:tblCellMar>
            <w:top w:w="0" w:type="dxa"/>
            <w:left w:w="0" w:type="dxa"/>
            <w:bottom w:w="0" w:type="dxa"/>
            <w:right w:w="0" w:type="dxa"/>
          </w:tblCellMar>
        </w:tblPrEx>
        <w:trPr>
          <w:trHeight w:val="46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方正黑体_GBK" w:hAnsi="方正黑体_GBK" w:eastAsia="方正黑体_GBK" w:cs="方正黑体_GBK"/>
                <w:color w:val="000000"/>
                <w:sz w:val="28"/>
                <w:szCs w:val="28"/>
              </w:rPr>
            </w:pPr>
          </w:p>
        </w:tc>
        <w:tc>
          <w:tcPr>
            <w:tcW w:w="3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方正黑体_GBK" w:hAnsi="方正黑体_GBK" w:eastAsia="方正黑体_GBK" w:cs="方正黑体_GBK"/>
                <w:color w:val="000000"/>
                <w:sz w:val="28"/>
                <w:szCs w:val="2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分指标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计算方式</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方正黑体_GBK" w:hAnsi="方正黑体_GBK" w:eastAsia="方正黑体_GBK" w:cs="方正黑体_GBK"/>
                <w:color w:val="000000"/>
                <w:sz w:val="28"/>
                <w:szCs w:val="28"/>
              </w:rPr>
            </w:pPr>
          </w:p>
        </w:tc>
        <w:tc>
          <w:tcPr>
            <w:tcW w:w="249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napToGrid w:val="0"/>
              <w:jc w:val="center"/>
              <w:rPr>
                <w:rFonts w:ascii="方正黑体_GBK" w:hAnsi="方正黑体_GBK" w:eastAsia="方正黑体_GBK" w:cs="方正黑体_GBK"/>
                <w:color w:val="000000"/>
                <w:sz w:val="28"/>
                <w:szCs w:val="28"/>
              </w:rPr>
            </w:pPr>
          </w:p>
        </w:tc>
        <w:tc>
          <w:tcPr>
            <w:tcW w:w="15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napToGrid w:val="0"/>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区属国有</w:t>
            </w:r>
          </w:p>
          <w:p>
            <w:pPr>
              <w:snapToGrid w:val="0"/>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公司组</w:t>
            </w:r>
          </w:p>
        </w:tc>
        <w:tc>
          <w:tcPr>
            <w:tcW w:w="11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napToGrid w:val="0"/>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区级部门组</w:t>
            </w:r>
          </w:p>
        </w:tc>
      </w:tr>
      <w:tr>
        <w:tblPrEx>
          <w:tblLayout w:type="fixed"/>
          <w:tblCellMar>
            <w:top w:w="0" w:type="dxa"/>
            <w:left w:w="0" w:type="dxa"/>
            <w:bottom w:w="0" w:type="dxa"/>
            <w:right w:w="0" w:type="dxa"/>
          </w:tblCellMar>
        </w:tblPrEx>
        <w:trPr>
          <w:trHeight w:val="1905"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招</w:t>
            </w:r>
            <w:r>
              <w:rPr>
                <w:rFonts w:hint="eastAsia" w:ascii="方正仿宋_GBK" w:hAnsi="方正仿宋_GBK" w:eastAsia="方正仿宋_GBK" w:cs="方正仿宋_GBK"/>
                <w:color w:val="000000"/>
                <w:kern w:val="0"/>
                <w:sz w:val="28"/>
                <w:szCs w:val="28"/>
              </w:rPr>
              <w:br w:type="textWrapping"/>
            </w:r>
            <w:r>
              <w:rPr>
                <w:rFonts w:hint="eastAsia" w:ascii="方正仿宋_GBK" w:hAnsi="方正仿宋_GBK" w:eastAsia="方正仿宋_GBK" w:cs="方正仿宋_GBK"/>
                <w:color w:val="000000"/>
                <w:kern w:val="0"/>
                <w:sz w:val="28"/>
                <w:szCs w:val="28"/>
              </w:rPr>
              <w:t>商</w:t>
            </w:r>
            <w:r>
              <w:rPr>
                <w:rFonts w:hint="eastAsia" w:ascii="方正仿宋_GBK" w:hAnsi="方正仿宋_GBK" w:eastAsia="方正仿宋_GBK" w:cs="方正仿宋_GBK"/>
                <w:color w:val="000000"/>
                <w:kern w:val="0"/>
                <w:sz w:val="28"/>
                <w:szCs w:val="28"/>
              </w:rPr>
              <w:br w:type="textWrapping"/>
            </w:r>
            <w:r>
              <w:rPr>
                <w:rFonts w:hint="eastAsia" w:ascii="方正仿宋_GBK" w:hAnsi="方正仿宋_GBK" w:eastAsia="方正仿宋_GBK" w:cs="方正仿宋_GBK"/>
                <w:color w:val="000000"/>
                <w:kern w:val="0"/>
                <w:sz w:val="28"/>
                <w:szCs w:val="28"/>
              </w:rPr>
              <w:t>指</w:t>
            </w:r>
            <w:r>
              <w:rPr>
                <w:rFonts w:hint="eastAsia" w:ascii="方正仿宋_GBK" w:hAnsi="方正仿宋_GBK" w:eastAsia="方正仿宋_GBK" w:cs="方正仿宋_GBK"/>
                <w:color w:val="000000"/>
                <w:kern w:val="0"/>
                <w:sz w:val="28"/>
                <w:szCs w:val="28"/>
              </w:rPr>
              <w:br w:type="textWrapping"/>
            </w:r>
            <w:r>
              <w:rPr>
                <w:rFonts w:hint="eastAsia" w:ascii="方正仿宋_GBK" w:hAnsi="方正仿宋_GBK" w:eastAsia="方正仿宋_GBK" w:cs="方正仿宋_GBK"/>
                <w:color w:val="000000"/>
                <w:kern w:val="0"/>
                <w:sz w:val="28"/>
                <w:szCs w:val="28"/>
              </w:rPr>
              <w:t>标</w:t>
            </w:r>
          </w:p>
        </w:tc>
        <w:tc>
          <w:tcPr>
            <w:tcW w:w="111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正式</w:t>
            </w:r>
            <w:r>
              <w:rPr>
                <w:rFonts w:hint="eastAsia" w:ascii="方正仿宋_GBK" w:hAnsi="方正仿宋_GBK" w:eastAsia="方正仿宋_GBK" w:cs="方正仿宋_GBK"/>
                <w:color w:val="000000"/>
                <w:kern w:val="0"/>
                <w:sz w:val="28"/>
                <w:szCs w:val="28"/>
              </w:rPr>
              <w:br w:type="textWrapping"/>
            </w:r>
            <w:r>
              <w:rPr>
                <w:rFonts w:hint="eastAsia" w:ascii="方正仿宋_GBK" w:hAnsi="方正仿宋_GBK" w:eastAsia="方正仿宋_GBK" w:cs="方正仿宋_GBK"/>
                <w:color w:val="000000"/>
                <w:kern w:val="0"/>
                <w:sz w:val="28"/>
                <w:szCs w:val="28"/>
              </w:rPr>
              <w:t>合同额</w:t>
            </w:r>
          </w:p>
        </w:tc>
        <w:tc>
          <w:tcPr>
            <w:tcW w:w="22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被考核单位当期正式合同额完成率。</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完成率</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sz w:val="28"/>
                <w:szCs w:val="28"/>
              </w:rPr>
              <w:t>按完成率比例计算</w:t>
            </w:r>
          </w:p>
        </w:tc>
        <w:tc>
          <w:tcPr>
            <w:tcW w:w="1800" w:type="dxa"/>
            <w:vMerge w:val="restart"/>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月度统计通报</w:t>
            </w:r>
            <w:r>
              <w:rPr>
                <w:rFonts w:hint="eastAsia" w:ascii="方正仿宋_GBK" w:hAnsi="方正仿宋_GBK" w:eastAsia="方正仿宋_GBK" w:cs="方正仿宋_GBK"/>
                <w:color w:val="000000"/>
                <w:kern w:val="0"/>
                <w:sz w:val="28"/>
                <w:szCs w:val="28"/>
              </w:rPr>
              <w:br w:type="textWrapping"/>
            </w:r>
            <w:r>
              <w:rPr>
                <w:rFonts w:hint="eastAsia" w:ascii="方正仿宋_GBK" w:hAnsi="方正仿宋_GBK" w:eastAsia="方正仿宋_GBK" w:cs="方正仿宋_GBK"/>
                <w:color w:val="000000"/>
                <w:kern w:val="0"/>
                <w:sz w:val="28"/>
                <w:szCs w:val="28"/>
              </w:rPr>
              <w:t>双月点评</w:t>
            </w:r>
            <w:r>
              <w:rPr>
                <w:rFonts w:hint="eastAsia" w:ascii="方正仿宋_GBK" w:hAnsi="方正仿宋_GBK" w:eastAsia="方正仿宋_GBK" w:cs="方正仿宋_GBK"/>
                <w:color w:val="000000"/>
                <w:kern w:val="0"/>
                <w:sz w:val="28"/>
                <w:szCs w:val="28"/>
              </w:rPr>
              <w:br w:type="textWrapping"/>
            </w:r>
            <w:r>
              <w:rPr>
                <w:rFonts w:hint="eastAsia" w:ascii="方正仿宋_GBK" w:hAnsi="方正仿宋_GBK" w:eastAsia="方正仿宋_GBK" w:cs="方正仿宋_GBK"/>
                <w:color w:val="000000"/>
                <w:kern w:val="0"/>
                <w:sz w:val="28"/>
                <w:szCs w:val="28"/>
              </w:rPr>
              <w:t>年度考核</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被考核单位诚信填报，接受抽查。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50%</w:t>
            </w:r>
          </w:p>
        </w:tc>
        <w:tc>
          <w:tcPr>
            <w:tcW w:w="11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100%</w:t>
            </w:r>
          </w:p>
        </w:tc>
      </w:tr>
      <w:tr>
        <w:tblPrEx>
          <w:tblLayout w:type="fixed"/>
          <w:tblCellMar>
            <w:top w:w="0" w:type="dxa"/>
            <w:left w:w="0" w:type="dxa"/>
            <w:bottom w:w="0" w:type="dxa"/>
            <w:right w:w="0" w:type="dxa"/>
          </w:tblCellMar>
        </w:tblPrEx>
        <w:trPr>
          <w:trHeight w:val="1149"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投</w:t>
            </w:r>
            <w:r>
              <w:rPr>
                <w:rFonts w:hint="eastAsia" w:ascii="方正仿宋_GBK" w:hAnsi="方正仿宋_GBK" w:eastAsia="方正仿宋_GBK" w:cs="方正仿宋_GBK"/>
                <w:color w:val="000000"/>
                <w:kern w:val="0"/>
                <w:sz w:val="28"/>
                <w:szCs w:val="28"/>
              </w:rPr>
              <w:br w:type="textWrapping"/>
            </w:r>
            <w:r>
              <w:rPr>
                <w:rFonts w:hint="eastAsia" w:ascii="方正仿宋_GBK" w:hAnsi="方正仿宋_GBK" w:eastAsia="方正仿宋_GBK" w:cs="方正仿宋_GBK"/>
                <w:color w:val="000000"/>
                <w:kern w:val="0"/>
                <w:sz w:val="28"/>
                <w:szCs w:val="28"/>
              </w:rPr>
              <w:t>资</w:t>
            </w:r>
            <w:r>
              <w:rPr>
                <w:rFonts w:hint="eastAsia" w:ascii="方正仿宋_GBK" w:hAnsi="方正仿宋_GBK" w:eastAsia="方正仿宋_GBK" w:cs="方正仿宋_GBK"/>
                <w:color w:val="000000"/>
                <w:kern w:val="0"/>
                <w:sz w:val="28"/>
                <w:szCs w:val="28"/>
              </w:rPr>
              <w:br w:type="textWrapping"/>
            </w:r>
            <w:r>
              <w:rPr>
                <w:rFonts w:hint="eastAsia" w:ascii="方正仿宋_GBK" w:hAnsi="方正仿宋_GBK" w:eastAsia="方正仿宋_GBK" w:cs="方正仿宋_GBK"/>
                <w:color w:val="000000"/>
                <w:kern w:val="0"/>
                <w:sz w:val="28"/>
                <w:szCs w:val="28"/>
              </w:rPr>
              <w:t>指</w:t>
            </w:r>
            <w:r>
              <w:rPr>
                <w:rFonts w:hint="eastAsia" w:ascii="方正仿宋_GBK" w:hAnsi="方正仿宋_GBK" w:eastAsia="方正仿宋_GBK" w:cs="方正仿宋_GBK"/>
                <w:color w:val="000000"/>
                <w:kern w:val="0"/>
                <w:sz w:val="28"/>
                <w:szCs w:val="28"/>
              </w:rPr>
              <w:br w:type="textWrapping"/>
            </w:r>
            <w:r>
              <w:rPr>
                <w:rFonts w:hint="eastAsia" w:ascii="方正仿宋_GBK" w:hAnsi="方正仿宋_GBK" w:eastAsia="方正仿宋_GBK" w:cs="方正仿宋_GBK"/>
                <w:color w:val="000000"/>
                <w:kern w:val="0"/>
                <w:sz w:val="28"/>
                <w:szCs w:val="28"/>
              </w:rPr>
              <w:t>标</w:t>
            </w: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到位</w:t>
            </w:r>
            <w:r>
              <w:rPr>
                <w:rFonts w:hint="eastAsia" w:ascii="方正仿宋_GBK" w:hAnsi="方正仿宋_GBK" w:eastAsia="方正仿宋_GBK" w:cs="方正仿宋_GBK"/>
                <w:color w:val="000000"/>
                <w:kern w:val="0"/>
                <w:sz w:val="28"/>
                <w:szCs w:val="28"/>
              </w:rPr>
              <w:br w:type="textWrapping"/>
            </w:r>
            <w:r>
              <w:rPr>
                <w:rFonts w:hint="eastAsia" w:ascii="方正仿宋_GBK" w:hAnsi="方正仿宋_GBK" w:eastAsia="方正仿宋_GBK" w:cs="方正仿宋_GBK"/>
                <w:color w:val="000000"/>
                <w:kern w:val="0"/>
                <w:sz w:val="28"/>
                <w:szCs w:val="28"/>
              </w:rPr>
              <w:t>资金</w:t>
            </w:r>
          </w:p>
        </w:tc>
        <w:tc>
          <w:tcPr>
            <w:tcW w:w="22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被考核单位当期到位资金完成率。</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完成率</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sz w:val="28"/>
                <w:szCs w:val="28"/>
              </w:rPr>
              <w:t>按完成率比例计算</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jc w:val="center"/>
              <w:rPr>
                <w:rFonts w:ascii="方正仿宋_GBK" w:hAnsi="方正仿宋_GBK" w:eastAsia="方正仿宋_GBK" w:cs="方正仿宋_GBK"/>
                <w:color w:val="000000"/>
                <w:sz w:val="28"/>
                <w:szCs w:val="28"/>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纳入区统计局统计的固投项目的到位资金，由区统计局提供。未纳入的，由被考核单位线上提供项目转账银行回单。</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50%</w:t>
            </w:r>
          </w:p>
        </w:tc>
        <w:tc>
          <w:tcPr>
            <w:tcW w:w="11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w:t>
            </w:r>
          </w:p>
        </w:tc>
      </w:tr>
    </w:tbl>
    <w:p/>
    <w:p>
      <w:pPr>
        <w:spacing w:line="540" w:lineRule="exact"/>
        <w:ind w:firstLine="420" w:firstLineChars="200"/>
      </w:pPr>
    </w:p>
    <w:p/>
    <w:p>
      <w:pPr>
        <w:sectPr>
          <w:footerReference r:id="rId8" w:type="first"/>
          <w:footerReference r:id="rId6" w:type="default"/>
          <w:footerReference r:id="rId7" w:type="even"/>
          <w:pgSz w:w="16838" w:h="11906" w:orient="landscape"/>
          <w:pgMar w:top="1531" w:right="2098" w:bottom="1531" w:left="1985" w:header="851" w:footer="992" w:gutter="0"/>
          <w:pgNumType w:fmt="numberInDash"/>
          <w:cols w:space="0" w:num="1"/>
          <w:titlePg/>
          <w:docGrid w:type="lines" w:linePitch="315" w:charSpace="0"/>
        </w:sectPr>
      </w:pPr>
    </w:p>
    <w:p>
      <w:pPr>
        <w:pStyle w:val="2"/>
      </w:pPr>
    </w:p>
    <w:p/>
    <w:p/>
    <w:p/>
    <w:p/>
    <w:p/>
    <w:p/>
    <w:p/>
    <w:p/>
    <w:p/>
    <w:p/>
    <w:p/>
    <w:p/>
    <w:p/>
    <w:p/>
    <w:p/>
    <w:p/>
    <w:p/>
    <w:p/>
    <w:p/>
    <w:p/>
    <w:p/>
    <w:p/>
    <w:p/>
    <w:p/>
    <w:p/>
    <w:p/>
    <w:p/>
    <w:p/>
    <w:p/>
    <w:p/>
    <w:p/>
    <w:p/>
    <w:p/>
    <w:p/>
    <w:p/>
    <w:p>
      <w:pPr>
        <w:spacing w:line="100" w:lineRule="exact"/>
        <w:rPr>
          <w:spacing w:val="-20"/>
        </w:rPr>
      </w:pPr>
    </w:p>
    <w:p>
      <w:pPr>
        <w:pBdr>
          <w:top w:val="single" w:color="auto" w:sz="6" w:space="0"/>
          <w:bottom w:val="single" w:color="auto" w:sz="6" w:space="1"/>
        </w:pBdr>
        <w:spacing w:line="480" w:lineRule="exact"/>
        <w:ind w:firstLine="140" w:firstLineChars="50"/>
        <w:rPr>
          <w:rFonts w:eastAsia="方正仿宋_GBK"/>
          <w:sz w:val="28"/>
          <w:szCs w:val="28"/>
        </w:rPr>
      </w:pPr>
      <w:r>
        <w:rPr>
          <w:rFonts w:eastAsia="方正仿宋_GBK"/>
          <w:bCs/>
          <w:sz w:val="28"/>
          <w:szCs w:val="28"/>
        </w:rPr>
        <w:t>重庆市巴南区</w:t>
      </w:r>
      <w:r>
        <w:rPr>
          <w:rFonts w:hint="eastAsia" w:eastAsia="方正仿宋_GBK"/>
          <w:bCs/>
          <w:sz w:val="28"/>
          <w:szCs w:val="28"/>
        </w:rPr>
        <w:t>招商投资促进局办公室</w:t>
      </w:r>
      <w:r>
        <w:rPr>
          <w:rFonts w:eastAsia="方正仿宋_GBK"/>
          <w:sz w:val="28"/>
          <w:szCs w:val="28"/>
        </w:rPr>
        <w:t>20</w:t>
      </w:r>
      <w:r>
        <w:rPr>
          <w:rFonts w:hint="eastAsia" w:eastAsia="方正仿宋_GBK"/>
          <w:sz w:val="28"/>
          <w:szCs w:val="28"/>
        </w:rPr>
        <w:t>20</w:t>
      </w:r>
      <w:r>
        <w:rPr>
          <w:rFonts w:eastAsia="方正仿宋_GBK"/>
          <w:sz w:val="28"/>
          <w:szCs w:val="28"/>
        </w:rPr>
        <w:t>年</w:t>
      </w:r>
      <w:r>
        <w:rPr>
          <w:rFonts w:hint="eastAsia" w:eastAsia="方正仿宋_GBK"/>
          <w:sz w:val="28"/>
          <w:szCs w:val="28"/>
        </w:rPr>
        <w:t>5</w:t>
      </w:r>
      <w:r>
        <w:rPr>
          <w:rFonts w:eastAsia="方正仿宋_GBK"/>
          <w:sz w:val="28"/>
          <w:szCs w:val="28"/>
        </w:rPr>
        <w:t>月</w:t>
      </w:r>
      <w:r>
        <w:rPr>
          <w:rFonts w:hint="eastAsia" w:eastAsia="方正仿宋_GBK"/>
          <w:sz w:val="28"/>
          <w:szCs w:val="28"/>
        </w:rPr>
        <w:t>12</w:t>
      </w:r>
      <w:r>
        <w:rPr>
          <w:rFonts w:eastAsia="方正仿宋_GBK"/>
          <w:sz w:val="28"/>
          <w:szCs w:val="28"/>
        </w:rPr>
        <w:t>日印发</w:t>
      </w:r>
    </w:p>
    <w:sectPr>
      <w:footerReference r:id="rId10" w:type="first"/>
      <w:footerReference r:id="rId9" w:type="default"/>
      <w:pgSz w:w="11906" w:h="16838"/>
      <w:pgMar w:top="2098" w:right="1531" w:bottom="1984" w:left="1531" w:header="851" w:footer="992" w:gutter="0"/>
      <w:pgNumType w:fmt="numberInDash"/>
      <w:cols w:space="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center"/>
      <w:rPr>
        <w:sz w:val="32"/>
        <w:szCs w:val="32"/>
      </w:rPr>
    </w:pPr>
    <w:r>
      <w:rPr>
        <w:sz w:val="32"/>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both"/>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- 6 -</w:t>
                          </w:r>
                          <w:r>
                            <w:rPr>
                              <w:rStyle w:val="7"/>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2NKxyL0BAABlAwAADgAAAAAAAAABACAAAAAfAQAAZHJzL2Uyb0RvYy54bWxQSwUGAAAA&#10;AAYABgBZAQAATgUAAAAA&#10;">
              <v:fill on="f" focussize="0,0"/>
              <v:stroke on="f" weight="0.5pt"/>
              <v:imagedata o:title=""/>
              <o:lock v:ext="edit" aspectratio="f"/>
              <v:textbox inset="0mm,0mm,0mm,0mm" style="mso-fit-shape-to-text:t;">
                <w:txbxContent>
                  <w:p>
                    <w:pPr>
                      <w:pStyle w:val="3"/>
                      <w:jc w:val="both"/>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- 6 -</w:t>
                    </w:r>
                    <w:r>
                      <w:rPr>
                        <w:rStyle w:val="7"/>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both"/>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- 6 -</w:t>
                          </w:r>
                          <w:r>
                            <w:rPr>
                              <w:rStyle w:val="7"/>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nORWl8ABAABlAwAADgAAAAAAAAABACAAAAAfAQAAZHJzL2Uyb0RvYy54bWxQSwUG&#10;AAAAAAYABgBZAQAAUQUAAAAA&#10;">
              <v:fill on="f" focussize="0,0"/>
              <v:stroke on="f" weight="0.5pt"/>
              <v:imagedata o:title=""/>
              <o:lock v:ext="edit" aspectratio="f"/>
              <v:textbox inset="0mm,0mm,0mm,0mm" style="mso-fit-shape-to-text:t;">
                <w:txbxContent>
                  <w:p>
                    <w:pPr>
                      <w:pStyle w:val="3"/>
                      <w:jc w:val="both"/>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- 6 -</w:t>
                    </w:r>
                    <w:r>
                      <w:rPr>
                        <w:rStyle w:val="7"/>
                        <w:rFonts w:ascii="宋体" w:hAnsi="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NotTrackMoves/>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701A2"/>
    <w:rsid w:val="0001590B"/>
    <w:rsid w:val="00084ADB"/>
    <w:rsid w:val="001844AC"/>
    <w:rsid w:val="003D4222"/>
    <w:rsid w:val="0047728E"/>
    <w:rsid w:val="00590794"/>
    <w:rsid w:val="007A1DF2"/>
    <w:rsid w:val="007F5ACA"/>
    <w:rsid w:val="00826BD4"/>
    <w:rsid w:val="00890357"/>
    <w:rsid w:val="00907AB9"/>
    <w:rsid w:val="009D55AC"/>
    <w:rsid w:val="00B025F6"/>
    <w:rsid w:val="00B072F7"/>
    <w:rsid w:val="00C80BCD"/>
    <w:rsid w:val="00D870F6"/>
    <w:rsid w:val="00DC0BD7"/>
    <w:rsid w:val="00F42629"/>
    <w:rsid w:val="00FC00D8"/>
    <w:rsid w:val="02ED78E0"/>
    <w:rsid w:val="033347E9"/>
    <w:rsid w:val="048A5929"/>
    <w:rsid w:val="06DE5979"/>
    <w:rsid w:val="0DB17C16"/>
    <w:rsid w:val="0E9D0C3C"/>
    <w:rsid w:val="10403C68"/>
    <w:rsid w:val="115743C1"/>
    <w:rsid w:val="120749C7"/>
    <w:rsid w:val="16691C50"/>
    <w:rsid w:val="1A6373DC"/>
    <w:rsid w:val="1E4E18C9"/>
    <w:rsid w:val="1E9E71C2"/>
    <w:rsid w:val="210367E2"/>
    <w:rsid w:val="2167114C"/>
    <w:rsid w:val="24796D7F"/>
    <w:rsid w:val="27F03C0F"/>
    <w:rsid w:val="282B2C9B"/>
    <w:rsid w:val="28B60C55"/>
    <w:rsid w:val="2E5A1DDA"/>
    <w:rsid w:val="2E5D3465"/>
    <w:rsid w:val="31906CA1"/>
    <w:rsid w:val="335F2A6C"/>
    <w:rsid w:val="3BB071AC"/>
    <w:rsid w:val="3F182188"/>
    <w:rsid w:val="40535763"/>
    <w:rsid w:val="45CA5C8E"/>
    <w:rsid w:val="465B0340"/>
    <w:rsid w:val="4C3E0247"/>
    <w:rsid w:val="4C6A7AAA"/>
    <w:rsid w:val="526B04DE"/>
    <w:rsid w:val="59B24370"/>
    <w:rsid w:val="5E9776E2"/>
    <w:rsid w:val="608B2330"/>
    <w:rsid w:val="61130C56"/>
    <w:rsid w:val="612B4827"/>
    <w:rsid w:val="666F0855"/>
    <w:rsid w:val="66EA7A4A"/>
    <w:rsid w:val="69BF0789"/>
    <w:rsid w:val="6C2B2109"/>
    <w:rsid w:val="6DE94DAA"/>
    <w:rsid w:val="719061A7"/>
    <w:rsid w:val="71A37824"/>
    <w:rsid w:val="788F6C04"/>
    <w:rsid w:val="7A9701A2"/>
    <w:rsid w:val="7E47672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keepLines/>
      <w:spacing w:line="576" w:lineRule="auto"/>
      <w:outlineLvl w:val="0"/>
    </w:pPr>
    <w:rPr>
      <w:rFonts w:eastAsia="方正黑体_GBK"/>
      <w:b/>
      <w:bCs/>
      <w:kern w:val="44"/>
      <w:sz w:val="44"/>
      <w:szCs w:val="44"/>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Autospacing="1" w:afterAutospacing="1"/>
      <w:jc w:val="left"/>
    </w:pPr>
    <w:rPr>
      <w:rFonts w:ascii="宋体" w:cs="宋体"/>
      <w:kern w:val="0"/>
      <w:sz w:val="24"/>
    </w:rPr>
  </w:style>
  <w:style w:type="character" w:styleId="7">
    <w:name w:val="page number"/>
    <w:basedOn w:val="6"/>
    <w:qFormat/>
    <w:uiPriority w:val="99"/>
    <w:rPr>
      <w:rFonts w:cs="Times New Roman"/>
    </w:rPr>
  </w:style>
  <w:style w:type="character" w:customStyle="1" w:styleId="9">
    <w:name w:val="页脚 Char"/>
    <w:basedOn w:val="6"/>
    <w:link w:val="3"/>
    <w:semiHidden/>
    <w:qFormat/>
    <w:locked/>
    <w:uiPriority w:val="99"/>
    <w:rPr>
      <w:rFonts w:cs="Times New Roman"/>
      <w:sz w:val="18"/>
      <w:szCs w:val="18"/>
    </w:rPr>
  </w:style>
  <w:style w:type="character" w:customStyle="1" w:styleId="10">
    <w:name w:val="页眉 Char"/>
    <w:basedOn w:val="6"/>
    <w:link w:val="4"/>
    <w:semiHidden/>
    <w:qFormat/>
    <w:locked/>
    <w:uiPriority w:val="99"/>
    <w:rPr>
      <w:rFonts w:cs="Times New Roman"/>
      <w:sz w:val="18"/>
      <w:szCs w:val="18"/>
    </w:rPr>
  </w:style>
  <w:style w:type="paragraph" w:customStyle="1" w:styleId="11">
    <w:name w:val="Char Char Char1 Char Char Char Char Char Char Char Char Char Char Char Char Char Char Char Char"/>
    <w:basedOn w:val="1"/>
    <w:qFormat/>
    <w:uiPriority w:val="99"/>
    <w:rPr>
      <w:rFonts w:ascii="Tahoma" w:hAnsi="Tahoma"/>
      <w:sz w:val="24"/>
      <w:szCs w:val="20"/>
    </w:rPr>
  </w:style>
  <w:style w:type="paragraph" w:customStyle="1" w:styleId="12">
    <w:name w:val="标题4"/>
    <w:basedOn w:val="1"/>
    <w:qFormat/>
    <w:uiPriority w:val="99"/>
    <w:pPr>
      <w:spacing w:line="400" w:lineRule="exact"/>
      <w:ind w:firstLine="2560" w:firstLineChars="800"/>
    </w:pPr>
    <w:rPr>
      <w:sz w:val="24"/>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1221</Words>
  <Characters>168</Characters>
  <Lines>1</Lines>
  <Paragraphs>2</Paragraphs>
  <TotalTime>12</TotalTime>
  <ScaleCrop>false</ScaleCrop>
  <LinksUpToDate>false</LinksUpToDate>
  <CharactersWithSpaces>1387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2019-09-02T12:14:00Z</dcterms:created>
  <dc:creator>Administrator</dc:creator>
  <cp:lastModifiedBy>招商投资促进办公室</cp:lastModifiedBy>
  <cp:lastPrinted>2020-05-11T08:17:00Z</cp:lastPrinted>
  <dcterms:modified xsi:type="dcterms:W3CDTF">2023-12-07T02:31:19Z</dcterms:modified>
  <dc:title>巴南区2019年度招商投资考核实施细则（实行）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