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0"/>
          <w:szCs w:val="30"/>
          <w:shd w:val="clear" w:fill="FFFFFF"/>
        </w:rPr>
        <w:t>2019年一品街道一般公共预算“三公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0"/>
          <w:szCs w:val="30"/>
          <w:shd w:val="clear" w:fill="FFFFFF"/>
        </w:rPr>
        <w:t>”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0"/>
          <w:szCs w:val="30"/>
          <w:shd w:val="clear" w:fill="FFFFFF"/>
        </w:rPr>
        <w:t>经费支出决算表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70" w:lineRule="atLeast"/>
        <w:ind w:left="0" w:right="57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18"/>
          <w:szCs w:val="18"/>
          <w:shd w:val="clear" w:fill="FFFFFF"/>
        </w:rPr>
        <w:t>                                                                         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shd w:val="clear" w:fill="FFFFFF"/>
        </w:rPr>
        <w:t>单位：万元</w:t>
      </w:r>
    </w:p>
    <w:tbl>
      <w:tblPr>
        <w:tblStyle w:val="3"/>
        <w:tblW w:w="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5"/>
        <w:gridCol w:w="1605"/>
        <w:gridCol w:w="151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项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  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目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年决算数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年预算数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</w:t>
            </w: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“三公”经费支出合计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28.00</w:t>
            </w: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30.00　</w:t>
            </w: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19.43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1．因公出国（境）费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8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2．公务用车购置及运行维护费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21.64</w:t>
            </w: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20.00　</w:t>
            </w: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13.08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）公务用车购置费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）公务用车运行维护费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21.64</w:t>
            </w: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20.00　</w:t>
            </w: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13.08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Style w:val="5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3．公务接待费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6.36</w:t>
            </w: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10.00　</w:t>
            </w: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6.35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）国内接待费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6.36</w:t>
            </w: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10.00　</w:t>
            </w: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6.35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其中：外事接待费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65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</w:rPr>
              <w:t>）国（境）外接待费</w:t>
            </w:r>
          </w:p>
        </w:tc>
        <w:tc>
          <w:tcPr>
            <w:tcW w:w="160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1717C"/>
    <w:rsid w:val="2D0B1568"/>
    <w:rsid w:val="7321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巴南区政协办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2022-03-22T02:13:00Z</dcterms:created>
  <dc:creator>Administrator</dc:creator>
  <cp:lastModifiedBy>Administrator</cp:lastModifiedBy>
  <dcterms:modified xsi:type="dcterms:W3CDTF">2025-03-11T02:54:51Z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