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right="0" w:rightChars="0"/>
        <w:jc w:val="both"/>
        <w:textAlignment w:val="center"/>
        <w:rPr>
          <w:rFonts w:hint="eastAsia" w:ascii="方正仿宋_GBK" w:hAnsi="方正仿宋_GBK" w:eastAsia="方正仿宋_GBK" w:cs="方正仿宋_GBK"/>
          <w:bCs/>
          <w:snapToGrid w:val="0"/>
          <w:color w:val="000000"/>
          <w:kern w:val="0"/>
          <w:sz w:val="32"/>
          <w:szCs w:val="32"/>
          <w:lang w:val="en-US" w:eastAsia="zh-CN"/>
        </w:rPr>
      </w:pPr>
      <w:r>
        <w:rPr>
          <w:rFonts w:hint="eastAsia" w:ascii="方正仿宋_GBK" w:hAnsi="方正仿宋_GBK" w:eastAsia="方正仿宋_GBK" w:cs="方正仿宋_GBK"/>
          <w:bCs/>
          <w:snapToGrid w:val="0"/>
          <w:color w:val="000000"/>
          <w:kern w:val="0"/>
          <w:sz w:val="32"/>
          <w:szCs w:val="32"/>
          <w:lang w:val="en-US" w:eastAsia="zh-CN"/>
        </w:rPr>
        <w:t>附件2</w:t>
      </w:r>
    </w:p>
    <w:p>
      <w:pPr>
        <w:keepNext w:val="0"/>
        <w:keepLines w:val="0"/>
        <w:pageBreakBefore w:val="0"/>
        <w:widowControl w:val="0"/>
        <w:kinsoku/>
        <w:wordWrap/>
        <w:overflowPunct/>
        <w:topLinePunct w:val="0"/>
        <w:bidi w:val="0"/>
        <w:spacing w:line="560" w:lineRule="exact"/>
        <w:ind w:left="0" w:leftChars="0" w:right="0" w:rightChars="0"/>
        <w:jc w:val="center"/>
        <w:textAlignment w:val="center"/>
        <w:rPr>
          <w:rFonts w:eastAsia="方正小标宋_GBK"/>
          <w:bCs/>
          <w:snapToGrid w:val="0"/>
          <w:color w:val="000000"/>
          <w:kern w:val="0"/>
          <w:sz w:val="44"/>
          <w:szCs w:val="44"/>
        </w:rPr>
      </w:pPr>
      <w:r>
        <w:rPr>
          <w:rFonts w:eastAsia="方正小标宋_GBK"/>
          <w:bCs/>
          <w:snapToGrid w:val="0"/>
          <w:color w:val="000000"/>
          <w:kern w:val="0"/>
          <w:sz w:val="44"/>
          <w:szCs w:val="44"/>
        </w:rPr>
        <w:t>巴南区可燃雨棚和突出外墙防护网</w:t>
      </w:r>
    </w:p>
    <w:p>
      <w:pPr>
        <w:keepNext w:val="0"/>
        <w:keepLines w:val="0"/>
        <w:pageBreakBefore w:val="0"/>
        <w:widowControl w:val="0"/>
        <w:kinsoku/>
        <w:wordWrap/>
        <w:overflowPunct/>
        <w:topLinePunct w:val="0"/>
        <w:bidi w:val="0"/>
        <w:spacing w:line="560" w:lineRule="exact"/>
        <w:ind w:left="0" w:leftChars="0" w:right="0" w:rightChars="0"/>
        <w:jc w:val="center"/>
        <w:textAlignment w:val="center"/>
        <w:rPr>
          <w:rFonts w:eastAsia="方正小标宋_GBK"/>
          <w:bCs/>
          <w:snapToGrid w:val="0"/>
          <w:color w:val="000000"/>
          <w:kern w:val="0"/>
          <w:sz w:val="44"/>
          <w:szCs w:val="44"/>
        </w:rPr>
      </w:pPr>
      <w:r>
        <w:rPr>
          <w:rFonts w:eastAsia="方正小标宋_GBK"/>
          <w:bCs/>
          <w:snapToGrid w:val="0"/>
          <w:color w:val="000000"/>
          <w:kern w:val="0"/>
          <w:sz w:val="44"/>
          <w:szCs w:val="44"/>
        </w:rPr>
        <w:t>整治参考标准（暂行）</w:t>
      </w:r>
    </w:p>
    <w:p>
      <w:pPr>
        <w:keepNext w:val="0"/>
        <w:keepLines w:val="0"/>
        <w:pageBreakBefore w:val="0"/>
        <w:widowControl w:val="0"/>
        <w:kinsoku/>
        <w:wordWrap/>
        <w:overflowPunct/>
        <w:topLinePunct w:val="0"/>
        <w:bidi w:val="0"/>
        <w:spacing w:line="560" w:lineRule="exact"/>
        <w:ind w:left="0" w:leftChars="0" w:right="0" w:rightChars="0" w:firstLine="420" w:firstLineChars="200"/>
        <w:textAlignment w:val="center"/>
        <w:rPr>
          <w:snapToGrid w:val="0"/>
          <w:color w:val="000000"/>
          <w:kern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Ansi="方正仿宋_GBK" w:eastAsia="方正仿宋_GBK"/>
          <w:snapToGrid w:val="0"/>
          <w:color w:val="000000"/>
          <w:kern w:val="0"/>
          <w:sz w:val="32"/>
          <w:szCs w:val="32"/>
        </w:rPr>
      </w:pPr>
      <w:r>
        <w:rPr>
          <w:rFonts w:hAnsi="方正仿宋_GBK" w:eastAsia="方正仿宋_GBK"/>
          <w:snapToGrid w:val="0"/>
          <w:color w:val="000000"/>
          <w:kern w:val="0"/>
          <w:sz w:val="32"/>
          <w:szCs w:val="32"/>
        </w:rPr>
        <w:t>按照市政府《重庆市高层建筑消防安全综合治理工作方案的通知》（渝府办发〔</w:t>
      </w:r>
      <w:r>
        <w:rPr>
          <w:rFonts w:eastAsia="方正仿宋_GBK"/>
          <w:snapToGrid w:val="0"/>
          <w:color w:val="000000"/>
          <w:kern w:val="0"/>
          <w:sz w:val="32"/>
          <w:szCs w:val="32"/>
        </w:rPr>
        <w:t>2021</w:t>
      </w:r>
      <w:r>
        <w:rPr>
          <w:rFonts w:hAnsi="方正仿宋_GBK" w:eastAsia="方正仿宋_GBK"/>
          <w:snapToGrid w:val="0"/>
          <w:color w:val="000000"/>
          <w:kern w:val="0"/>
          <w:sz w:val="32"/>
          <w:szCs w:val="32"/>
        </w:rPr>
        <w:t>〕</w:t>
      </w:r>
      <w:r>
        <w:rPr>
          <w:rFonts w:eastAsia="方正仿宋_GBK"/>
          <w:snapToGrid w:val="0"/>
          <w:color w:val="000000"/>
          <w:kern w:val="0"/>
          <w:sz w:val="32"/>
          <w:szCs w:val="32"/>
        </w:rPr>
        <w:t>15</w:t>
      </w:r>
      <w:r>
        <w:rPr>
          <w:rFonts w:hAnsi="方正仿宋_GBK" w:eastAsia="方正仿宋_GBK"/>
          <w:snapToGrid w:val="0"/>
          <w:color w:val="000000"/>
          <w:kern w:val="0"/>
          <w:sz w:val="32"/>
          <w:szCs w:val="32"/>
        </w:rPr>
        <w:t>号）要求，为切实推进高层建筑可燃雨棚和突出外墙防护网整治攻坚行动，确保整治标准统一、措施具有可操作性特制定如下整治工作参考标准，请各街镇、园区公司、相关部门结合实际参照执行。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黑体_GBK"/>
          <w:snapToGrid w:val="0"/>
          <w:color w:val="000000"/>
          <w:kern w:val="0"/>
          <w:sz w:val="32"/>
          <w:szCs w:val="32"/>
        </w:rPr>
      </w:pPr>
      <w:r>
        <w:rPr>
          <w:rFonts w:hAnsi="方正黑体_GBK" w:eastAsia="方正黑体_GBK"/>
          <w:snapToGrid w:val="0"/>
          <w:color w:val="000000"/>
          <w:kern w:val="0"/>
          <w:sz w:val="32"/>
          <w:szCs w:val="32"/>
        </w:rPr>
        <w:t>一、可燃雨棚整治参考标准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楷体_GBK" w:eastAsia="方正楷体_GBK"/>
          <w:snapToGrid w:val="0"/>
          <w:color w:val="000000"/>
          <w:kern w:val="0"/>
          <w:sz w:val="32"/>
          <w:szCs w:val="32"/>
        </w:rPr>
        <w:t>（一）整治对象：</w:t>
      </w:r>
      <w:r>
        <w:rPr>
          <w:rFonts w:hAnsi="方正仿宋_GBK" w:eastAsia="方正仿宋_GBK"/>
          <w:snapToGrid w:val="0"/>
          <w:color w:val="000000"/>
          <w:kern w:val="0"/>
          <w:sz w:val="32"/>
          <w:szCs w:val="32"/>
        </w:rPr>
        <w:t>可燃雨棚，指设置在建筑外窗、阳台或露台上方用于挡雨、挡风或防高空落物砸伤的且燃烧性能属可燃、易燃材料的建筑装配。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仿宋_GBK" w:eastAsia="方正仿宋_GBK"/>
          <w:snapToGrid w:val="0"/>
          <w:color w:val="000000"/>
          <w:kern w:val="0"/>
          <w:sz w:val="32"/>
          <w:szCs w:val="32"/>
        </w:rPr>
        <w:t>（备注：可燃、易燃材料，指按照《建筑内部装修设计防火规范》（</w:t>
      </w:r>
      <w:r>
        <w:rPr>
          <w:rFonts w:eastAsia="方正仿宋_GBK"/>
          <w:snapToGrid w:val="0"/>
          <w:color w:val="000000"/>
          <w:kern w:val="0"/>
          <w:sz w:val="32"/>
          <w:szCs w:val="32"/>
        </w:rPr>
        <w:t>GB50222-2017</w:t>
      </w:r>
      <w:r>
        <w:rPr>
          <w:rFonts w:hAnsi="方正仿宋_GBK" w:eastAsia="方正仿宋_GBK"/>
          <w:snapToGrid w:val="0"/>
          <w:color w:val="000000"/>
          <w:kern w:val="0"/>
          <w:sz w:val="32"/>
          <w:szCs w:val="32"/>
        </w:rPr>
        <w:t>）第</w:t>
      </w:r>
      <w:r>
        <w:rPr>
          <w:rFonts w:eastAsia="方正仿宋_GBK"/>
          <w:snapToGrid w:val="0"/>
          <w:color w:val="000000"/>
          <w:kern w:val="0"/>
          <w:sz w:val="32"/>
          <w:szCs w:val="32"/>
        </w:rPr>
        <w:t>3.0.2</w:t>
      </w:r>
      <w:r>
        <w:rPr>
          <w:rFonts w:hAnsi="方正仿宋_GBK" w:eastAsia="方正仿宋_GBK"/>
          <w:snapToGrid w:val="0"/>
          <w:color w:val="000000"/>
          <w:kern w:val="0"/>
          <w:sz w:val="32"/>
          <w:szCs w:val="32"/>
        </w:rPr>
        <w:t>条之规定，装修装饰材料燃烧性能为</w:t>
      </w:r>
      <w:r>
        <w:rPr>
          <w:rFonts w:eastAsia="方正仿宋_GBK"/>
          <w:snapToGrid w:val="0"/>
          <w:color w:val="000000"/>
          <w:kern w:val="0"/>
          <w:sz w:val="32"/>
          <w:szCs w:val="32"/>
        </w:rPr>
        <w:t>B2</w:t>
      </w:r>
      <w:r>
        <w:rPr>
          <w:rFonts w:hAnsi="方正仿宋_GBK" w:eastAsia="方正仿宋_GBK"/>
          <w:snapToGrid w:val="0"/>
          <w:color w:val="000000"/>
          <w:kern w:val="0"/>
          <w:sz w:val="32"/>
          <w:szCs w:val="32"/>
        </w:rPr>
        <w:t>级及以下的材料均属于可燃、易燃材料即易起火、易燃烧、易碳化。）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楷体_GBK" w:eastAsia="方正楷体_GBK"/>
          <w:snapToGrid w:val="0"/>
          <w:color w:val="000000"/>
          <w:kern w:val="0"/>
          <w:sz w:val="32"/>
          <w:szCs w:val="32"/>
        </w:rPr>
        <w:t>（二）整治方法：</w:t>
      </w:r>
      <w:r>
        <w:rPr>
          <w:rFonts w:hAnsi="方正仿宋_GBK" w:eastAsia="方正仿宋_GBK"/>
          <w:snapToGrid w:val="0"/>
          <w:color w:val="000000"/>
          <w:kern w:val="0"/>
          <w:sz w:val="32"/>
          <w:szCs w:val="32"/>
        </w:rPr>
        <w:t>一是予以拆除；二是将可燃雨棚更换为不燃或难燃材质的雨棚。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仿宋_GBK" w:eastAsia="方正仿宋_GBK"/>
          <w:snapToGrid w:val="0"/>
          <w:color w:val="000000"/>
          <w:kern w:val="0"/>
          <w:sz w:val="32"/>
          <w:szCs w:val="32"/>
        </w:rPr>
        <w:t>（备注：市面上常用的不燃、难燃材质雨棚有彩钢瓦、不锈钢、铝合金、玻璃、水泥石棉瓦等；可燃材质雨棚有</w:t>
      </w:r>
      <w:r>
        <w:rPr>
          <w:rFonts w:eastAsia="方正仿宋_GBK"/>
          <w:snapToGrid w:val="0"/>
          <w:color w:val="000000"/>
          <w:kern w:val="0"/>
          <w:sz w:val="32"/>
          <w:szCs w:val="32"/>
        </w:rPr>
        <w:t>PVC</w:t>
      </w:r>
      <w:r>
        <w:rPr>
          <w:rFonts w:hAnsi="方正仿宋_GBK" w:eastAsia="方正仿宋_GBK"/>
          <w:snapToGrid w:val="0"/>
          <w:color w:val="000000"/>
          <w:kern w:val="0"/>
          <w:sz w:val="32"/>
          <w:szCs w:val="32"/>
        </w:rPr>
        <w:t>材料、塑料、织物材料、拉膜材质等。因市场上材质较多无法完全列举，在实际操作过程中应查看相应检测报告或在安全环境下进行现场点火试验以确定其燃烧性能。）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黑体_GBK"/>
          <w:snapToGrid w:val="0"/>
          <w:color w:val="000000"/>
          <w:kern w:val="0"/>
          <w:sz w:val="32"/>
          <w:szCs w:val="32"/>
        </w:rPr>
      </w:pPr>
      <w:r>
        <w:rPr>
          <w:rFonts w:hAnsi="方正黑体_GBK" w:eastAsia="方正黑体_GBK"/>
          <w:snapToGrid w:val="0"/>
          <w:color w:val="000000"/>
          <w:kern w:val="0"/>
          <w:sz w:val="32"/>
          <w:szCs w:val="32"/>
        </w:rPr>
        <w:t>二、突出外墙防护网整治参考标准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楷体_GBK" w:eastAsia="方正楷体_GBK"/>
          <w:snapToGrid w:val="0"/>
          <w:color w:val="000000"/>
          <w:kern w:val="0"/>
          <w:sz w:val="32"/>
          <w:szCs w:val="32"/>
        </w:rPr>
        <w:t>（一）整治对象：</w:t>
      </w:r>
      <w:r>
        <w:rPr>
          <w:rFonts w:hAnsi="方正仿宋_GBK" w:eastAsia="方正仿宋_GBK"/>
          <w:snapToGrid w:val="0"/>
          <w:color w:val="000000"/>
          <w:kern w:val="0"/>
          <w:sz w:val="32"/>
          <w:szCs w:val="32"/>
        </w:rPr>
        <w:t>突出外墙的防护网，常指高层住宅所有者或使用者在建筑物外立面超过建筑物墙体，以及阳台、外走廊及其栏杆上设置的防护网或吊挂物品。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楷体_GBK" w:eastAsia="方正楷体_GBK"/>
          <w:snapToGrid w:val="0"/>
          <w:color w:val="000000"/>
          <w:kern w:val="0"/>
          <w:sz w:val="32"/>
          <w:szCs w:val="32"/>
        </w:rPr>
        <w:t>（二）整改方式：</w:t>
      </w:r>
      <w:r>
        <w:rPr>
          <w:rFonts w:hAnsi="方正仿宋_GBK" w:eastAsia="方正仿宋_GBK"/>
          <w:snapToGrid w:val="0"/>
          <w:color w:val="000000"/>
          <w:kern w:val="0"/>
          <w:sz w:val="32"/>
          <w:szCs w:val="32"/>
        </w:rPr>
        <w:t>对高层建筑突出外墙的防护网，一是予以拆除；二是通过改造开设应急疏散逃生口的方式进行整改，留出</w:t>
      </w:r>
      <w:r>
        <w:rPr>
          <w:rFonts w:eastAsia="方正仿宋_GBK"/>
          <w:snapToGrid w:val="0"/>
          <w:color w:val="000000"/>
          <w:kern w:val="0"/>
          <w:sz w:val="32"/>
          <w:szCs w:val="32"/>
        </w:rPr>
        <w:t>“</w:t>
      </w:r>
      <w:r>
        <w:rPr>
          <w:rFonts w:hAnsi="方正仿宋_GBK" w:eastAsia="方正仿宋_GBK"/>
          <w:snapToGrid w:val="0"/>
          <w:color w:val="000000"/>
          <w:kern w:val="0"/>
          <w:sz w:val="32"/>
          <w:szCs w:val="32"/>
        </w:rPr>
        <w:t>生命通道</w:t>
      </w:r>
      <w:r>
        <w:rPr>
          <w:rFonts w:eastAsia="方正仿宋_GBK"/>
          <w:snapToGrid w:val="0"/>
          <w:color w:val="000000"/>
          <w:kern w:val="0"/>
          <w:sz w:val="32"/>
          <w:szCs w:val="32"/>
        </w:rPr>
        <w:t>”</w:t>
      </w:r>
      <w:r>
        <w:rPr>
          <w:rFonts w:hAnsi="方正仿宋_GBK" w:eastAsia="方正仿宋_GBK"/>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hAnsi="方正楷体_GBK" w:eastAsia="方正楷体_GBK"/>
          <w:snapToGrid w:val="0"/>
          <w:color w:val="000000"/>
          <w:kern w:val="0"/>
          <w:sz w:val="32"/>
          <w:szCs w:val="32"/>
        </w:rPr>
        <w:t>（三）整改标准：</w:t>
      </w:r>
      <w:r>
        <w:rPr>
          <w:rFonts w:hAnsi="方正仿宋_GBK" w:eastAsia="方正仿宋_GBK"/>
          <w:snapToGrid w:val="0"/>
          <w:color w:val="000000"/>
          <w:kern w:val="0"/>
          <w:sz w:val="32"/>
          <w:szCs w:val="32"/>
        </w:rPr>
        <w:t>突出外墙防护网开设疏散逃生口应符合《高层住宅防护网应急疏散逃生口技术规定（暂行）的通知》（渝建标〔</w:t>
      </w:r>
      <w:r>
        <w:rPr>
          <w:rFonts w:eastAsia="方正仿宋_GBK"/>
          <w:snapToGrid w:val="0"/>
          <w:color w:val="000000"/>
          <w:kern w:val="0"/>
          <w:sz w:val="32"/>
          <w:szCs w:val="32"/>
        </w:rPr>
        <w:t>2020</w:t>
      </w:r>
      <w:r>
        <w:rPr>
          <w:rFonts w:hAnsi="方正仿宋_GBK" w:eastAsia="方正仿宋_GBK"/>
          <w:snapToGrid w:val="0"/>
          <w:color w:val="000000"/>
          <w:kern w:val="0"/>
          <w:sz w:val="32"/>
          <w:szCs w:val="32"/>
        </w:rPr>
        <w:t>〕</w:t>
      </w:r>
      <w:r>
        <w:rPr>
          <w:rFonts w:eastAsia="方正仿宋_GBK"/>
          <w:snapToGrid w:val="0"/>
          <w:color w:val="000000"/>
          <w:kern w:val="0"/>
          <w:sz w:val="32"/>
          <w:szCs w:val="32"/>
        </w:rPr>
        <w:t>30</w:t>
      </w:r>
      <w:r>
        <w:rPr>
          <w:rFonts w:hAnsi="方正仿宋_GBK" w:eastAsia="方正仿宋_GBK"/>
          <w:snapToGrid w:val="0"/>
          <w:color w:val="000000"/>
          <w:kern w:val="0"/>
          <w:sz w:val="32"/>
          <w:szCs w:val="32"/>
        </w:rPr>
        <w:t>号）之规定。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eastAsia="方正仿宋_GBK"/>
          <w:snapToGrid w:val="0"/>
          <w:color w:val="000000"/>
          <w:kern w:val="0"/>
          <w:sz w:val="32"/>
          <w:szCs w:val="32"/>
        </w:rPr>
        <w:t>1.</w:t>
      </w:r>
      <w:r>
        <w:rPr>
          <w:rFonts w:hAnsi="方正仿宋_GBK" w:eastAsia="方正仿宋_GBK"/>
          <w:snapToGrid w:val="0"/>
          <w:color w:val="000000"/>
          <w:kern w:val="0"/>
          <w:sz w:val="32"/>
          <w:szCs w:val="32"/>
        </w:rPr>
        <w:t>高层住宅每套应有</w:t>
      </w:r>
      <w:r>
        <w:rPr>
          <w:rFonts w:eastAsia="方正仿宋_GBK"/>
          <w:snapToGrid w:val="0"/>
          <w:color w:val="000000"/>
          <w:kern w:val="0"/>
          <w:sz w:val="32"/>
          <w:szCs w:val="32"/>
        </w:rPr>
        <w:t>2</w:t>
      </w:r>
      <w:r>
        <w:rPr>
          <w:rFonts w:hAnsi="方正仿宋_GBK" w:eastAsia="方正仿宋_GBK"/>
          <w:snapToGrid w:val="0"/>
          <w:color w:val="000000"/>
          <w:kern w:val="0"/>
          <w:sz w:val="32"/>
          <w:szCs w:val="32"/>
        </w:rPr>
        <w:t>个及以上应急疏散逃生口。对一套住宅设置有多个防护网的，至少应在消防救援场地或消防车道正上方的防护网上开设一个应急疏散逃生口；有条件的，应尽量在所有防护网上开设应急疏散逃生口。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eastAsia="方正仿宋_GBK"/>
          <w:snapToGrid w:val="0"/>
          <w:color w:val="000000"/>
          <w:kern w:val="0"/>
          <w:sz w:val="32"/>
          <w:szCs w:val="32"/>
        </w:rPr>
        <w:t>2.</w:t>
      </w:r>
      <w:r>
        <w:rPr>
          <w:rFonts w:hAnsi="方正仿宋_GBK" w:eastAsia="方正仿宋_GBK"/>
          <w:snapToGrid w:val="0"/>
          <w:color w:val="000000"/>
          <w:kern w:val="0"/>
          <w:sz w:val="32"/>
          <w:szCs w:val="32"/>
        </w:rPr>
        <w:t>防护网上开设的应急疏散逃生口宜设置在消防救援场地或消防车道正上方。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eastAsia="方正仿宋_GBK"/>
          <w:snapToGrid w:val="0"/>
          <w:color w:val="000000"/>
          <w:kern w:val="0"/>
          <w:sz w:val="32"/>
          <w:szCs w:val="32"/>
        </w:rPr>
        <w:t>3.</w:t>
      </w:r>
      <w:r>
        <w:rPr>
          <w:rFonts w:hAnsi="方正仿宋_GBK" w:eastAsia="方正仿宋_GBK"/>
          <w:snapToGrid w:val="0"/>
          <w:color w:val="000000"/>
          <w:kern w:val="0"/>
          <w:sz w:val="32"/>
          <w:szCs w:val="32"/>
        </w:rPr>
        <w:t>防护网上开设的应急疏散逃生口应开设在防护网的正面，其洞口尺寸不宜小于</w:t>
      </w:r>
      <w:r>
        <w:rPr>
          <w:rFonts w:eastAsia="方正仿宋_GBK"/>
          <w:snapToGrid w:val="0"/>
          <w:color w:val="000000"/>
          <w:kern w:val="0"/>
          <w:sz w:val="32"/>
          <w:szCs w:val="32"/>
        </w:rPr>
        <w:t>1000mmx600mm</w:t>
      </w:r>
      <w:r>
        <w:rPr>
          <w:rFonts w:hAnsi="方正仿宋_GBK" w:eastAsia="方正仿宋_GBK"/>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eastAsia="方正仿宋_GBK"/>
          <w:snapToGrid w:val="0"/>
          <w:color w:val="000000"/>
          <w:kern w:val="0"/>
          <w:sz w:val="32"/>
          <w:szCs w:val="32"/>
        </w:rPr>
        <w:t>4.</w:t>
      </w:r>
      <w:r>
        <w:rPr>
          <w:rFonts w:hAnsi="方正仿宋_GBK" w:eastAsia="方正仿宋_GBK"/>
          <w:snapToGrid w:val="0"/>
          <w:color w:val="000000"/>
          <w:kern w:val="0"/>
          <w:sz w:val="32"/>
          <w:szCs w:val="32"/>
        </w:rPr>
        <w:t>防护网上开设的应急疏散逃生口应方便、快捷，由室内向外开启，并设有醒目标识。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eastAsia="方正仿宋_GBK"/>
          <w:snapToGrid w:val="0"/>
          <w:color w:val="000000"/>
          <w:kern w:val="0"/>
          <w:sz w:val="32"/>
          <w:szCs w:val="32"/>
        </w:rPr>
      </w:pPr>
      <w:r>
        <w:rPr>
          <w:rFonts w:eastAsia="方正仿宋_GBK"/>
          <w:snapToGrid w:val="0"/>
          <w:color w:val="000000"/>
          <w:kern w:val="0"/>
          <w:sz w:val="32"/>
          <w:szCs w:val="32"/>
        </w:rPr>
        <w:t>5.</w:t>
      </w:r>
      <w:r>
        <w:rPr>
          <w:rFonts w:hAnsi="方正仿宋_GBK" w:eastAsia="方正仿宋_GBK"/>
          <w:snapToGrid w:val="0"/>
          <w:color w:val="000000"/>
          <w:kern w:val="0"/>
          <w:sz w:val="32"/>
          <w:szCs w:val="32"/>
        </w:rPr>
        <w:t>防护网上及应急疏散逃生口处严禁堆放各类杂物。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C648E"/>
    <w:rsid w:val="509C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巴南区政协办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2021-05-25T08:07:00Z</dcterms:created>
  <dc:creator>Administrator</dc:creator>
  <cp:lastModifiedBy>Administrator</cp:lastModifiedBy>
  <dcterms:modified xsi:type="dcterms:W3CDTF">2021-05-25T08:07:49Z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