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color w:val="000000"/>
          <w:sz w:val="36"/>
          <w:szCs w:val="36"/>
        </w:rPr>
      </w:pPr>
      <w:r>
        <w:rPr>
          <w:rFonts w:hint="eastAsia" w:asciiTheme="minorEastAsia" w:hAnsiTheme="minorEastAsia"/>
          <w:b/>
          <w:color w:val="000000"/>
          <w:sz w:val="36"/>
          <w:szCs w:val="36"/>
        </w:rPr>
        <w:t>202</w:t>
      </w:r>
      <w:r>
        <w:rPr>
          <w:rFonts w:hint="eastAsia" w:asciiTheme="minorEastAsia" w:hAnsiTheme="minorEastAsia"/>
          <w:b/>
          <w:color w:val="000000"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/>
          <w:b/>
          <w:color w:val="000000"/>
          <w:sz w:val="36"/>
          <w:szCs w:val="36"/>
        </w:rPr>
        <w:t>年巴南区</w:t>
      </w:r>
      <w:r>
        <w:rPr>
          <w:rFonts w:hint="eastAsia" w:asciiTheme="minorEastAsia" w:hAnsiTheme="minorEastAsia"/>
          <w:b/>
          <w:color w:val="000000"/>
          <w:sz w:val="36"/>
          <w:szCs w:val="36"/>
          <w:lang w:eastAsia="zh-CN"/>
        </w:rPr>
        <w:t>一</w:t>
      </w:r>
      <w:r>
        <w:rPr>
          <w:rFonts w:hint="eastAsia" w:asciiTheme="minorEastAsia" w:hAnsiTheme="minorEastAsia"/>
          <w:b/>
          <w:color w:val="000000"/>
          <w:sz w:val="36"/>
          <w:szCs w:val="36"/>
        </w:rPr>
        <w:t>季度经济运行情况</w:t>
      </w:r>
    </w:p>
    <w:p>
      <w:pPr>
        <w:spacing w:line="480" w:lineRule="exact"/>
        <w:ind w:firstLine="437"/>
        <w:jc w:val="both"/>
        <w:rPr>
          <w:rFonts w:hint="eastAsia" w:ascii="仿宋_GB2312" w:hAnsi="宋体" w:eastAsia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1.1季度地区生产总值2383258万元，按可比价计算，同比增长3.6%。其中第一产业增加值89768万元，同比增长4.7%；第二产业增加值996741万元，同比增长6.1%；第三产业增加值1296749万元，同比增长1.7%。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2.1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-3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月全区规模以上工业增加值同比增长</w:t>
      </w:r>
      <w:r>
        <w:rPr>
          <w:rFonts w:hint="eastAsia" w:eastAsia="方正仿宋_GBK" w:cstheme="minorBidi"/>
          <w:color w:val="000000"/>
          <w:sz w:val="32"/>
          <w:szCs w:val="32"/>
          <w:lang w:val="en-US" w:eastAsia="zh-CN"/>
        </w:rPr>
        <w:t>6.1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3.1季度全区社会消费品零售总额1361458万元，同比增长1.5%。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4.1-3月全区全社会固定资产投资同比增长13.8%。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5.1季度城镇居民人均可支配收入15125元，同比增长3.3%；农村居民人均可支配收入8134元，同比增长5.3%。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6.1-3月地方预算内财政收入107211万</w:t>
      </w:r>
      <w:bookmarkStart w:id="0" w:name="_GoBack"/>
      <w:bookmarkEnd w:id="0"/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元，同比增长5.3%，其中，一般公共预算收入106540万元，同比增长5.4%；一般公共预算支出253568万元，同比增长30.1%。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theme="minorBidi"/>
          <w:color w:val="000000"/>
          <w:sz w:val="32"/>
          <w:szCs w:val="32"/>
        </w:rPr>
        <w:t>7.</w:t>
      </w:r>
      <w:r>
        <w:rPr>
          <w:rFonts w:hint="eastAsia" w:ascii="Times New Roman" w:hAnsi="Times New Roman" w:eastAsia="方正仿宋_GBK" w:cstheme="minorBidi"/>
          <w:color w:val="000000"/>
          <w:sz w:val="32"/>
          <w:szCs w:val="32"/>
          <w:lang w:val="en-US" w:eastAsia="zh-CN"/>
        </w:rPr>
        <w:t>3月末，全区金融机构人民币存款余额13746969万元，同比增长11.1%，金融机构人民币贷款余额11735050万元，同比增长7.4%。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73F0D"/>
    <w:rsid w:val="10FB422C"/>
    <w:rsid w:val="1BD6723B"/>
    <w:rsid w:val="3F473F0D"/>
    <w:rsid w:val="4441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0" w:lineRule="atLeast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巴南区统计局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2022-04-25T02:10:00Z</dcterms:created>
  <dc:creator>zly</dc:creator>
  <cp:lastModifiedBy>zly</cp:lastModifiedBy>
  <dcterms:modified xsi:type="dcterms:W3CDTF">2023-04-21T08:02:39Z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