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</w:rPr>
        <w:t>202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年巴南区</w:t>
      </w:r>
      <w:r>
        <w:rPr>
          <w:rFonts w:hint="eastAsia" w:asciiTheme="minorEastAsia" w:hAnsiTheme="minorEastAsia"/>
          <w:b/>
          <w:color w:val="000000"/>
          <w:sz w:val="36"/>
          <w:szCs w:val="36"/>
          <w:lang w:eastAsia="zh-CN"/>
        </w:rPr>
        <w:t>二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季度经济运行情况</w:t>
      </w:r>
    </w:p>
    <w:p>
      <w:pPr>
        <w:spacing w:line="480" w:lineRule="exact"/>
        <w:ind w:firstLine="437"/>
        <w:jc w:val="both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1.</w:t>
      </w:r>
      <w:r>
        <w:rPr>
          <w:rFonts w:hint="eastAsia" w:eastAsia="方正仿宋_GBK" w:cstheme="minorBidi"/>
          <w:color w:val="000000"/>
          <w:sz w:val="32"/>
          <w:szCs w:val="32"/>
          <w:lang w:val="en-US" w:eastAsia="zh-CN"/>
        </w:rPr>
        <w:t>1-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2季度地区生产总值5048029万元，按可比价计算，同比增长3.7%。其中第一产业增加值218449万元，同比增长4.7%；第二产业增加值2300152万元，同比增长5.5%；第三产业增加值2529428万元，同比增长2.2%。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2.1-6月全区规模以上工业</w:t>
      </w:r>
      <w:r>
        <w:rPr>
          <w:rFonts w:hint="eastAsia" w:eastAsia="方正仿宋_GBK" w:cstheme="minorBidi"/>
          <w:color w:val="000000"/>
          <w:sz w:val="32"/>
          <w:szCs w:val="32"/>
          <w:lang w:eastAsia="zh-CN"/>
        </w:rPr>
        <w:t>增加值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同比增长</w:t>
      </w:r>
      <w:r>
        <w:rPr>
          <w:rFonts w:hint="eastAsia" w:eastAsia="方正仿宋_GBK" w:cstheme="minorBidi"/>
          <w:color w:val="000000"/>
          <w:sz w:val="32"/>
          <w:szCs w:val="32"/>
          <w:lang w:val="en-US" w:eastAsia="zh-CN"/>
        </w:rPr>
        <w:t>5.2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3.</w:t>
      </w:r>
      <w:r>
        <w:rPr>
          <w:rFonts w:hint="eastAsia" w:eastAsia="方正仿宋_GBK" w:cstheme="minorBidi"/>
          <w:color w:val="000000"/>
          <w:sz w:val="32"/>
          <w:szCs w:val="32"/>
          <w:lang w:val="en-US" w:eastAsia="zh-CN"/>
        </w:rPr>
        <w:t>1-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2季度全区社会消费品零售总额2962200万元，同比增长6.5%。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4.1-6月全区全社会固定资产投资同比增长2.6%。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5.</w:t>
      </w:r>
      <w:r>
        <w:rPr>
          <w:rFonts w:hint="eastAsia" w:eastAsia="方正仿宋_GBK" w:cstheme="minorBidi"/>
          <w:color w:val="000000"/>
          <w:sz w:val="32"/>
          <w:szCs w:val="32"/>
          <w:lang w:val="en-US" w:eastAsia="zh-CN"/>
        </w:rPr>
        <w:t>1-</w:t>
      </w:r>
      <w:bookmarkStart w:id="0" w:name="_GoBack"/>
      <w:bookmarkEnd w:id="0"/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2季度城镇居民人均可支配收入29279元，同比增长4.5%；农村居民人均可支配收入16603元，同比增长6.6%。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6.1-6月地方预算内财政收入188998 万元，同比增长11.8%，其中，一般公共预算收入187710万元，同比增长12.0%；一般公共预算支出409535万元，同比下降0.4%。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7.6月末，全区金融机构人民币存款余额13658804万元，同比增长9.9%，金融机构人民币贷款余额11815442万元，同比增长7.5%。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73F0D"/>
    <w:rsid w:val="10FB422C"/>
    <w:rsid w:val="120272E4"/>
    <w:rsid w:val="163F4D33"/>
    <w:rsid w:val="1BD6723B"/>
    <w:rsid w:val="3F473F0D"/>
    <w:rsid w:val="4441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2022-04-25T02:10:00Z</dcterms:created>
  <dc:creator>zly</dc:creator>
  <cp:lastModifiedBy>zly</cp:lastModifiedBy>
  <cp:lastPrinted>2023-07-24T01:58:16Z</cp:lastPrinted>
  <dcterms:modified xsi:type="dcterms:W3CDTF">2023-07-24T02:14:25Z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