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/>
          <w:b/>
          <w:color w:val="000000"/>
          <w:sz w:val="36"/>
          <w:szCs w:val="36"/>
        </w:rPr>
        <w:t>202</w:t>
      </w:r>
      <w:r>
        <w:rPr>
          <w:rFonts w:hint="eastAsia" w:asciiTheme="minorEastAsia" w:hAnsiTheme="minorEastAsia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/>
          <w:b/>
          <w:color w:val="000000"/>
          <w:sz w:val="36"/>
          <w:szCs w:val="36"/>
        </w:rPr>
        <w:t>年巴南区</w:t>
      </w:r>
      <w:r>
        <w:rPr>
          <w:rFonts w:hint="eastAsia" w:asciiTheme="minorEastAsia" w:hAnsiTheme="minorEastAsia"/>
          <w:b/>
          <w:color w:val="000000"/>
          <w:sz w:val="36"/>
          <w:szCs w:val="36"/>
          <w:lang w:val="en-US" w:eastAsia="zh-CN"/>
        </w:rPr>
        <w:t>1-7月</w:t>
      </w:r>
      <w:r>
        <w:rPr>
          <w:rFonts w:hint="eastAsia" w:asciiTheme="minorEastAsia" w:hAnsiTheme="minorEastAsia"/>
          <w:b/>
          <w:color w:val="000000"/>
          <w:sz w:val="36"/>
          <w:szCs w:val="36"/>
        </w:rPr>
        <w:t>经济运行情况</w:t>
      </w:r>
    </w:p>
    <w:p>
      <w:pPr>
        <w:spacing w:line="480" w:lineRule="exact"/>
        <w:ind w:firstLine="437"/>
        <w:jc w:val="both"/>
        <w:rPr>
          <w:rFonts w:hint="eastAsia" w:ascii="仿宋_GB2312" w:hAnsi="宋体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1.1-7月全区规模以上工业增加值同比增长4.0%。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.1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-7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月全区全社会固定资产投资同比增长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5.8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.1-7月地方预算内财政收入239130万元，同比增长22.8%，其中，一般公共预算收入237613万元，同比增长22.9%；一般公共预算支出461755万元，同比增长0.6%。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7月末，全区金融机构人民币存款余额14344951万元，同比增长16.9%，金融机构人民币贷款余额11546667万元，同比增长4.5%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D02A9"/>
    <w:rsid w:val="08A14EE3"/>
    <w:rsid w:val="0ABD02A9"/>
    <w:rsid w:val="18177BE3"/>
    <w:rsid w:val="22A2299F"/>
    <w:rsid w:val="3DE76D67"/>
    <w:rsid w:val="4A6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巴南区统计局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2022-05-20T08:41:00Z</dcterms:created>
  <dc:creator>zly</dc:creator>
  <cp:lastModifiedBy>zly</cp:lastModifiedBy>
  <cp:lastPrinted>2023-08-22T02:28:52Z</cp:lastPrinted>
  <dcterms:modified xsi:type="dcterms:W3CDTF">2023-08-22T02:28:54Z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