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adjustRightInd w:val="0"/>
        <w:snapToGrid w:val="0"/>
        <w:spacing w:before="0" w:beforeAutospacing="0" w:after="0" w:afterAutospacing="0" w:line="360" w:lineRule="auto"/>
        <w:jc w:val="center"/>
        <w:rPr>
          <w:rFonts w:ascii="黑体" w:hAnsi="黑体" w:eastAsia="黑体"/>
          <w:b/>
          <w:sz w:val="36"/>
          <w:szCs w:val="36"/>
        </w:rPr>
      </w:pPr>
      <w:bookmarkStart w:id="9" w:name="_GoBack"/>
      <w:bookmarkEnd w:id="9"/>
      <w:r>
        <w:rPr>
          <w:rFonts w:hint="eastAsia" w:ascii="黑体" w:hAnsi="黑体" w:eastAsia="黑体"/>
          <w:b/>
          <w:sz w:val="36"/>
          <w:szCs w:val="36"/>
        </w:rPr>
        <w:t>巴南区旅游发展专项资金</w:t>
      </w:r>
    </w:p>
    <w:p>
      <w:pPr>
        <w:pStyle w:val="12"/>
        <w:adjustRightInd w:val="0"/>
        <w:snapToGrid w:val="0"/>
        <w:spacing w:before="0" w:beforeAutospacing="0" w:after="0" w:afterAutospacing="0" w:line="360" w:lineRule="auto"/>
        <w:jc w:val="center"/>
        <w:rPr>
          <w:rFonts w:ascii="黑体" w:hAnsi="黑体" w:eastAsia="黑体"/>
          <w:b/>
          <w:sz w:val="36"/>
          <w:szCs w:val="36"/>
        </w:rPr>
      </w:pPr>
      <w:r>
        <w:rPr>
          <w:rFonts w:hint="eastAsia" w:ascii="黑体" w:hAnsi="黑体" w:eastAsia="黑体"/>
          <w:b/>
          <w:sz w:val="36"/>
          <w:szCs w:val="36"/>
        </w:rPr>
        <w:t>绩效评价报告摘要</w:t>
      </w:r>
    </w:p>
    <w:p>
      <w:pPr>
        <w:pStyle w:val="12"/>
        <w:adjustRightInd w:val="0"/>
        <w:snapToGrid w:val="0"/>
        <w:spacing w:before="0" w:beforeAutospacing="0" w:after="0" w:afterAutospacing="0" w:line="360" w:lineRule="auto"/>
        <w:jc w:val="center"/>
        <w:rPr>
          <w:rFonts w:ascii="仿宋" w:hAnsi="仿宋" w:eastAsia="仿宋"/>
          <w:bCs/>
        </w:rPr>
      </w:pPr>
    </w:p>
    <w:p>
      <w:pPr>
        <w:pStyle w:val="12"/>
        <w:adjustRightInd w:val="0"/>
        <w:snapToGrid w:val="0"/>
        <w:spacing w:before="0" w:beforeAutospacing="0" w:after="0" w:afterAutospacing="0" w:line="360" w:lineRule="auto"/>
        <w:ind w:firstLine="482" w:firstLineChars="200"/>
        <w:rPr>
          <w:rFonts w:ascii="黑体" w:hAnsi="黑体" w:eastAsia="黑体"/>
          <w:b/>
        </w:rPr>
      </w:pPr>
      <w:r>
        <w:rPr>
          <w:rFonts w:hint="eastAsia" w:ascii="黑体" w:hAnsi="黑体" w:eastAsia="黑体"/>
          <w:b/>
        </w:rPr>
        <w:t>一、项目基本情况</w:t>
      </w:r>
    </w:p>
    <w:p>
      <w:pPr>
        <w:adjustRightInd w:val="0"/>
        <w:snapToGrid w:val="0"/>
        <w:spacing w:line="360" w:lineRule="auto"/>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项目名称</w:t>
      </w:r>
      <w:r>
        <w:rPr>
          <w:rFonts w:ascii="仿宋" w:hAnsi="仿宋" w:eastAsia="仿宋"/>
          <w:sz w:val="24"/>
        </w:rPr>
        <w:t>：2019</w:t>
      </w:r>
      <w:r>
        <w:rPr>
          <w:rFonts w:hint="eastAsia" w:ascii="仿宋" w:hAnsi="仿宋" w:eastAsia="仿宋"/>
          <w:sz w:val="24"/>
        </w:rPr>
        <w:t>年巴南区旅游发展专项资金。</w:t>
      </w:r>
    </w:p>
    <w:p>
      <w:pPr>
        <w:adjustRightInd w:val="0"/>
        <w:snapToGrid w:val="0"/>
        <w:spacing w:line="360" w:lineRule="auto"/>
        <w:ind w:firstLine="480" w:firstLineChars="200"/>
        <w:rPr>
          <w:rFonts w:ascii="仿宋" w:hAnsi="仿宋" w:eastAsia="仿宋" w:cs="宋体"/>
          <w:kern w:val="0"/>
          <w:sz w:val="24"/>
        </w:rPr>
      </w:pPr>
      <w:r>
        <w:rPr>
          <w:rFonts w:ascii="仿宋" w:hAnsi="仿宋" w:eastAsia="仿宋" w:cs="宋体"/>
          <w:kern w:val="0"/>
          <w:sz w:val="24"/>
        </w:rPr>
        <w:t>2</w:t>
      </w:r>
      <w:r>
        <w:rPr>
          <w:rFonts w:hint="eastAsia" w:ascii="仿宋" w:hAnsi="仿宋" w:eastAsia="仿宋" w:cs="宋体"/>
          <w:kern w:val="0"/>
          <w:sz w:val="24"/>
        </w:rPr>
        <w:t>、责任单位：巴南区文化和旅游发展委员会（以下简称区文旅委）。</w:t>
      </w:r>
    </w:p>
    <w:p>
      <w:pPr>
        <w:adjustRightInd w:val="0"/>
        <w:snapToGrid w:val="0"/>
        <w:spacing w:line="360" w:lineRule="auto"/>
        <w:ind w:firstLine="480" w:firstLineChars="200"/>
        <w:rPr>
          <w:rFonts w:ascii="仿宋" w:hAnsi="仿宋" w:eastAsia="仿宋" w:cs="宋体"/>
          <w:b/>
          <w:spacing w:val="-3"/>
          <w:kern w:val="0"/>
          <w:sz w:val="24"/>
        </w:rPr>
      </w:pPr>
      <w:r>
        <w:rPr>
          <w:rFonts w:ascii="仿宋" w:hAnsi="仿宋" w:eastAsia="仿宋"/>
          <w:sz w:val="24"/>
        </w:rPr>
        <w:t>3</w:t>
      </w:r>
      <w:r>
        <w:rPr>
          <w:rFonts w:hint="eastAsia" w:ascii="仿宋" w:hAnsi="仿宋" w:eastAsia="仿宋"/>
          <w:sz w:val="24"/>
        </w:rPr>
        <w:t>、资金预算：总额</w:t>
      </w:r>
      <w:r>
        <w:rPr>
          <w:rFonts w:ascii="仿宋" w:hAnsi="仿宋" w:eastAsia="仿宋"/>
          <w:sz w:val="24"/>
        </w:rPr>
        <w:t>1500</w:t>
      </w:r>
      <w:r>
        <w:rPr>
          <w:rFonts w:hint="eastAsia" w:ascii="仿宋" w:hAnsi="仿宋" w:eastAsia="仿宋"/>
          <w:sz w:val="24"/>
        </w:rPr>
        <w:t>万元，纳入区文旅委2</w:t>
      </w:r>
      <w:r>
        <w:rPr>
          <w:rFonts w:ascii="仿宋" w:hAnsi="仿宋" w:eastAsia="仿宋"/>
          <w:sz w:val="24"/>
        </w:rPr>
        <w:t>019</w:t>
      </w:r>
      <w:r>
        <w:rPr>
          <w:rFonts w:hint="eastAsia" w:ascii="仿宋" w:hAnsi="仿宋" w:eastAsia="仿宋"/>
          <w:sz w:val="24"/>
        </w:rPr>
        <w:t>年度部门预算。</w:t>
      </w:r>
    </w:p>
    <w:p>
      <w:pPr>
        <w:adjustRightInd w:val="0"/>
        <w:snapToGrid w:val="0"/>
        <w:spacing w:line="360" w:lineRule="auto"/>
        <w:ind w:firstLine="480" w:firstLineChars="200"/>
        <w:rPr>
          <w:rFonts w:ascii="仿宋" w:hAnsi="仿宋" w:eastAsia="仿宋" w:cs="宋体"/>
          <w:kern w:val="0"/>
          <w:sz w:val="24"/>
        </w:rPr>
      </w:pPr>
      <w:r>
        <w:rPr>
          <w:rFonts w:ascii="仿宋" w:hAnsi="仿宋" w:eastAsia="仿宋" w:cs="宋体"/>
          <w:kern w:val="0"/>
          <w:sz w:val="24"/>
        </w:rPr>
        <w:t>4</w:t>
      </w:r>
      <w:r>
        <w:rPr>
          <w:rFonts w:hint="eastAsia" w:ascii="仿宋" w:hAnsi="仿宋" w:eastAsia="仿宋" w:cs="宋体"/>
          <w:kern w:val="0"/>
          <w:sz w:val="24"/>
        </w:rPr>
        <w:t>、资金用途：支持巴南区全域旅游发展创意策划、规划设计、公共服务、品牌推广、市场拓展、人才培训以及乡村旅游扶贫奖补。</w:t>
      </w:r>
    </w:p>
    <w:p>
      <w:pPr>
        <w:adjustRightInd w:val="0"/>
        <w:snapToGrid w:val="0"/>
        <w:spacing w:line="360" w:lineRule="auto"/>
        <w:ind w:firstLine="480" w:firstLineChars="200"/>
        <w:rPr>
          <w:rFonts w:ascii="仿宋" w:hAnsi="仿宋" w:eastAsia="仿宋" w:cs="宋体"/>
          <w:kern w:val="0"/>
          <w:sz w:val="24"/>
        </w:rPr>
      </w:pPr>
      <w:r>
        <w:rPr>
          <w:rFonts w:hint="eastAsia" w:ascii="仿宋" w:hAnsi="仿宋" w:eastAsia="仿宋" w:cs="宋体"/>
          <w:kern w:val="0"/>
          <w:sz w:val="24"/>
        </w:rPr>
        <w:t>5、绩效目标：2019年全区预计接待旅游人次3500万人次，预计实现全区旅游综合经济收入115亿元。</w:t>
      </w:r>
    </w:p>
    <w:p>
      <w:pPr>
        <w:pStyle w:val="12"/>
        <w:adjustRightInd w:val="0"/>
        <w:snapToGrid w:val="0"/>
        <w:spacing w:before="0" w:beforeAutospacing="0" w:after="0" w:afterAutospacing="0" w:line="360" w:lineRule="auto"/>
        <w:ind w:firstLine="482" w:firstLineChars="200"/>
        <w:rPr>
          <w:rFonts w:ascii="仿宋" w:hAnsi="仿宋" w:eastAsia="仿宋"/>
          <w:b/>
        </w:rPr>
      </w:pPr>
      <w:r>
        <w:rPr>
          <w:rFonts w:hint="eastAsia" w:ascii="仿宋" w:hAnsi="仿宋" w:eastAsia="仿宋"/>
          <w:b/>
        </w:rPr>
        <w:t>二、综合评价情况及评价结论</w:t>
      </w:r>
    </w:p>
    <w:p>
      <w:pPr>
        <w:tabs>
          <w:tab w:val="center" w:pos="4396"/>
        </w:tabs>
        <w:autoSpaceDE w:val="0"/>
        <w:autoSpaceDN w:val="0"/>
        <w:adjustRightInd w:val="0"/>
        <w:snapToGrid w:val="0"/>
        <w:spacing w:line="360" w:lineRule="auto"/>
        <w:ind w:firstLine="482" w:firstLineChars="200"/>
        <w:rPr>
          <w:rFonts w:ascii="仿宋" w:hAnsi="仿宋" w:eastAsia="仿宋"/>
          <w:b/>
          <w:bCs/>
          <w:sz w:val="24"/>
        </w:rPr>
      </w:pPr>
      <w:r>
        <w:rPr>
          <w:rFonts w:hint="eastAsia" w:ascii="仿宋" w:hAnsi="仿宋" w:eastAsia="仿宋" w:cs="宋体"/>
          <w:b/>
          <w:bCs/>
          <w:sz w:val="24"/>
        </w:rPr>
        <w:t>（一）评分情况</w:t>
      </w:r>
    </w:p>
    <w:p>
      <w:pPr>
        <w:tabs>
          <w:tab w:val="center" w:pos="4396"/>
        </w:tabs>
        <w:autoSpaceDE w:val="0"/>
        <w:autoSpaceDN w:val="0"/>
        <w:adjustRightInd w:val="0"/>
        <w:snapToGrid w:val="0"/>
        <w:spacing w:line="360" w:lineRule="auto"/>
        <w:ind w:firstLine="480" w:firstLineChars="200"/>
        <w:rPr>
          <w:rFonts w:ascii="仿宋" w:hAnsi="仿宋" w:eastAsia="仿宋" w:cs="宋体"/>
          <w:sz w:val="24"/>
          <w:highlight w:val="yellow"/>
        </w:rPr>
      </w:pPr>
      <w:r>
        <w:rPr>
          <w:rFonts w:hint="eastAsia" w:ascii="仿宋" w:hAnsi="仿宋" w:eastAsia="仿宋" w:cs="宋体"/>
          <w:sz w:val="24"/>
        </w:rPr>
        <w:t>通过评价小组综合评价，</w:t>
      </w:r>
      <w:r>
        <w:rPr>
          <w:rFonts w:ascii="仿宋" w:hAnsi="仿宋" w:eastAsia="仿宋" w:cs="宋体"/>
          <w:sz w:val="24"/>
        </w:rPr>
        <w:t>2019</w:t>
      </w:r>
      <w:r>
        <w:rPr>
          <w:rFonts w:hint="eastAsia" w:ascii="仿宋" w:hAnsi="仿宋" w:eastAsia="仿宋" w:cs="宋体"/>
          <w:sz w:val="24"/>
        </w:rPr>
        <w:t xml:space="preserve">年巴南区旅游发展专项资金综合得分为 </w:t>
      </w:r>
      <w:r>
        <w:rPr>
          <w:rFonts w:ascii="仿宋" w:hAnsi="仿宋" w:eastAsia="仿宋" w:cs="宋体"/>
          <w:sz w:val="24"/>
          <w:u w:val="single"/>
        </w:rPr>
        <w:t xml:space="preserve"> 86.5 </w:t>
      </w:r>
      <w:r>
        <w:rPr>
          <w:rFonts w:hint="eastAsia" w:ascii="仿宋" w:hAnsi="仿宋" w:eastAsia="仿宋" w:cs="宋体"/>
          <w:sz w:val="24"/>
        </w:rPr>
        <w:t>分，评价等级为：</w:t>
      </w:r>
      <w:r>
        <w:rPr>
          <w:rFonts w:hint="eastAsia" w:ascii="仿宋" w:hAnsi="仿宋" w:eastAsia="仿宋" w:cs="宋体"/>
          <w:sz w:val="24"/>
          <w:u w:val="single"/>
        </w:rPr>
        <w:t xml:space="preserve"> 良 </w:t>
      </w:r>
      <w:r>
        <w:rPr>
          <w:rFonts w:hint="eastAsia" w:ascii="仿宋" w:hAnsi="仿宋" w:eastAsia="仿宋" w:cs="宋体"/>
          <w:sz w:val="24"/>
        </w:rPr>
        <w:t>，具体评分情况如下</w:t>
      </w:r>
      <w:r>
        <w:rPr>
          <w:rFonts w:ascii="仿宋" w:hAnsi="仿宋" w:eastAsia="仿宋" w:cs="宋体"/>
          <w:sz w:val="24"/>
        </w:rPr>
        <w:t>:</w:t>
      </w:r>
    </w:p>
    <w:p>
      <w:pPr>
        <w:pStyle w:val="12"/>
        <w:adjustRightInd w:val="0"/>
        <w:snapToGrid w:val="0"/>
        <w:spacing w:before="0" w:beforeAutospacing="0" w:after="0" w:afterAutospacing="0" w:line="360" w:lineRule="auto"/>
        <w:jc w:val="center"/>
        <w:rPr>
          <w:rFonts w:ascii="仿宋" w:hAnsi="仿宋" w:eastAsia="仿宋"/>
          <w:b/>
          <w:color w:val="FF0000"/>
        </w:rPr>
      </w:pPr>
      <w:bookmarkStart w:id="0" w:name="_MON_1656770219"/>
      <w:bookmarkEnd w:id="0"/>
      <w:r>
        <w:rPr>
          <w:rFonts w:ascii="仿宋" w:hAnsi="仿宋" w:eastAsia="仿宋"/>
          <w:color w:val="FF0000"/>
        </w:rPr>
        <w:object>
          <v:shape id="_x0000_i1025" o:spt="75" type="#_x0000_t75" style="height:117pt;width:358pt;" o:ole="t" filled="f" o:preferrelative="t" stroked="f" coordsize="21600,21600">
            <v:path/>
            <v:fill on="f" focussize="0,0"/>
            <v:stroke on="f" joinstyle="miter"/>
            <v:imagedata r:id="rId9" o:title=""/>
            <o:lock v:ext="edit" aspectratio="t"/>
            <w10:wrap type="none"/>
            <w10:anchorlock/>
          </v:shape>
          <o:OLEObject Type="Embed" ProgID="Excel.Sheet.12" ShapeID="_x0000_i1025" DrawAspect="Content" ObjectID="_1468075725" r:id="rId8">
            <o:LockedField>false</o:LockedField>
          </o:OLEObject>
        </w:object>
      </w:r>
    </w:p>
    <w:p>
      <w:pPr>
        <w:tabs>
          <w:tab w:val="center" w:pos="4396"/>
        </w:tabs>
        <w:autoSpaceDE w:val="0"/>
        <w:autoSpaceDN w:val="0"/>
        <w:adjustRightInd w:val="0"/>
        <w:snapToGrid w:val="0"/>
        <w:spacing w:line="360" w:lineRule="auto"/>
        <w:ind w:firstLine="482" w:firstLineChars="200"/>
        <w:rPr>
          <w:rFonts w:ascii="仿宋" w:hAnsi="仿宋" w:eastAsia="仿宋"/>
          <w:b/>
          <w:bCs/>
          <w:sz w:val="24"/>
        </w:rPr>
      </w:pPr>
      <w:r>
        <w:rPr>
          <w:rFonts w:hint="eastAsia" w:ascii="仿宋" w:hAnsi="仿宋" w:eastAsia="仿宋" w:cs="宋体"/>
          <w:b/>
          <w:bCs/>
          <w:sz w:val="24"/>
        </w:rPr>
        <w:t>（二）综合结论</w:t>
      </w:r>
    </w:p>
    <w:p>
      <w:pPr>
        <w:pStyle w:val="12"/>
        <w:adjustRightInd w:val="0"/>
        <w:snapToGrid w:val="0"/>
        <w:spacing w:before="0" w:beforeAutospacing="0" w:after="0" w:afterAutospacing="0" w:line="360" w:lineRule="auto"/>
        <w:ind w:firstLine="480" w:firstLineChars="200"/>
        <w:rPr>
          <w:rFonts w:ascii="仿宋" w:hAnsi="仿宋" w:eastAsia="仿宋"/>
          <w:kern w:val="2"/>
        </w:rPr>
      </w:pPr>
      <w:r>
        <w:rPr>
          <w:rFonts w:ascii="仿宋" w:hAnsi="仿宋" w:eastAsia="仿宋"/>
          <w:kern w:val="2"/>
        </w:rPr>
        <w:t>2019</w:t>
      </w:r>
      <w:r>
        <w:rPr>
          <w:rFonts w:hint="eastAsia" w:ascii="仿宋" w:hAnsi="仿宋" w:eastAsia="仿宋"/>
          <w:kern w:val="2"/>
        </w:rPr>
        <w:t>年巴南区旅游发展专项资金项目的实施，对提升巴南区旅游知名度和美誉度，加快推进巴南区全域旅游发展起到了积极作用。年度接待旅游人次和旅游综合收入均完成年度目标任务，取得较好成效。但项目实施也存在部分问题和不足，包括：部分资金列支不规范、切块资金监督管理相对薄弱、项目整体实施进度较慢、计划项目存在调整、绩效目标设置和自评不规范等，需在后续工作中不断总结改进和完善。</w:t>
      </w:r>
    </w:p>
    <w:p>
      <w:pPr>
        <w:pStyle w:val="12"/>
        <w:adjustRightInd w:val="0"/>
        <w:snapToGrid w:val="0"/>
        <w:spacing w:before="0" w:beforeAutospacing="0" w:after="0" w:afterAutospacing="0" w:line="360" w:lineRule="auto"/>
        <w:ind w:firstLine="480" w:firstLineChars="200"/>
        <w:rPr>
          <w:rFonts w:ascii="仿宋" w:hAnsi="仿宋" w:eastAsia="仿宋"/>
          <w:kern w:val="2"/>
        </w:rPr>
      </w:pPr>
    </w:p>
    <w:p>
      <w:pPr>
        <w:pStyle w:val="12"/>
        <w:adjustRightInd w:val="0"/>
        <w:snapToGrid w:val="0"/>
        <w:spacing w:before="0" w:beforeAutospacing="0" w:after="0" w:afterAutospacing="0" w:line="360" w:lineRule="auto"/>
        <w:ind w:firstLine="482" w:firstLineChars="200"/>
        <w:rPr>
          <w:rFonts w:ascii="仿宋" w:hAnsi="仿宋" w:eastAsia="仿宋"/>
          <w:b/>
        </w:rPr>
      </w:pPr>
      <w:r>
        <w:rPr>
          <w:rFonts w:hint="eastAsia" w:ascii="仿宋" w:hAnsi="仿宋" w:eastAsia="仿宋"/>
          <w:b/>
        </w:rPr>
        <w:t>三、存在问题及改进建议</w:t>
      </w:r>
    </w:p>
    <w:p>
      <w:pPr>
        <w:pStyle w:val="12"/>
        <w:adjustRightInd w:val="0"/>
        <w:snapToGrid w:val="0"/>
        <w:spacing w:before="0" w:beforeAutospacing="0" w:after="0" w:afterAutospacing="0" w:line="360" w:lineRule="auto"/>
        <w:ind w:firstLine="482" w:firstLineChars="200"/>
        <w:rPr>
          <w:rFonts w:ascii="仿宋" w:hAnsi="仿宋" w:eastAsia="仿宋"/>
          <w:b/>
        </w:rPr>
      </w:pPr>
      <w:r>
        <w:rPr>
          <w:rFonts w:ascii="仿宋" w:hAnsi="仿宋" w:eastAsia="仿宋"/>
          <w:b/>
        </w:rPr>
        <w:t>1</w:t>
      </w:r>
      <w:r>
        <w:rPr>
          <w:rFonts w:hint="eastAsia" w:ascii="仿宋" w:hAnsi="仿宋" w:eastAsia="仿宋"/>
          <w:b/>
        </w:rPr>
        <w:t>、部分资金列支不规范。</w:t>
      </w:r>
    </w:p>
    <w:p>
      <w:pPr>
        <w:pStyle w:val="12"/>
        <w:adjustRightInd w:val="0"/>
        <w:snapToGrid w:val="0"/>
        <w:spacing w:before="0" w:beforeAutospacing="0" w:after="0" w:afterAutospacing="0" w:line="360" w:lineRule="auto"/>
        <w:ind w:firstLine="480"/>
        <w:rPr>
          <w:rFonts w:ascii="仿宋" w:hAnsi="仿宋" w:eastAsia="仿宋"/>
        </w:rPr>
      </w:pPr>
      <w:r>
        <w:rPr>
          <w:rFonts w:hint="eastAsia" w:ascii="仿宋" w:hAnsi="仿宋" w:eastAsia="仿宋"/>
        </w:rPr>
        <w:t>（1）超范围列支。</w:t>
      </w:r>
      <w:r>
        <w:rPr>
          <w:rFonts w:hint="eastAsia" w:ascii="仿宋" w:hAnsi="仿宋" w:eastAsia="仿宋"/>
          <w:bCs/>
        </w:rPr>
        <w:t>区文旅委实施的旅游品牌推广项目中，列支有1</w:t>
      </w:r>
      <w:r>
        <w:rPr>
          <w:rFonts w:ascii="仿宋" w:hAnsi="仿宋" w:eastAsia="仿宋"/>
          <w:bCs/>
        </w:rPr>
        <w:t>7.79</w:t>
      </w:r>
      <w:r>
        <w:rPr>
          <w:rFonts w:hint="eastAsia" w:ascii="仿宋" w:hAnsi="仿宋" w:eastAsia="仿宋"/>
          <w:bCs/>
        </w:rPr>
        <w:t>万元日常运行费用，其中电费3</w:t>
      </w:r>
      <w:r>
        <w:rPr>
          <w:rFonts w:ascii="仿宋" w:hAnsi="仿宋" w:eastAsia="仿宋"/>
          <w:bCs/>
        </w:rPr>
        <w:t>.57</w:t>
      </w:r>
      <w:r>
        <w:rPr>
          <w:rFonts w:hint="eastAsia" w:ascii="仿宋" w:hAnsi="仿宋" w:eastAsia="仿宋"/>
          <w:bCs/>
        </w:rPr>
        <w:t>万元、水费0</w:t>
      </w:r>
      <w:r>
        <w:rPr>
          <w:rFonts w:ascii="仿宋" w:hAnsi="仿宋" w:eastAsia="仿宋"/>
          <w:bCs/>
        </w:rPr>
        <w:t>.14</w:t>
      </w:r>
      <w:r>
        <w:rPr>
          <w:rFonts w:hint="eastAsia" w:ascii="仿宋" w:hAnsi="仿宋" w:eastAsia="仿宋"/>
          <w:bCs/>
        </w:rPr>
        <w:t>万元、物业管理费3</w:t>
      </w:r>
      <w:r>
        <w:rPr>
          <w:rFonts w:ascii="仿宋" w:hAnsi="仿宋" w:eastAsia="仿宋"/>
          <w:bCs/>
        </w:rPr>
        <w:t>.92</w:t>
      </w:r>
      <w:r>
        <w:rPr>
          <w:rFonts w:hint="eastAsia" w:ascii="仿宋" w:hAnsi="仿宋" w:eastAsia="仿宋"/>
          <w:bCs/>
        </w:rPr>
        <w:t>万元、维修维护费1</w:t>
      </w:r>
      <w:r>
        <w:rPr>
          <w:rFonts w:ascii="仿宋" w:hAnsi="仿宋" w:eastAsia="仿宋"/>
          <w:bCs/>
        </w:rPr>
        <w:t>.27</w:t>
      </w:r>
      <w:r>
        <w:rPr>
          <w:rFonts w:hint="eastAsia" w:ascii="仿宋" w:hAnsi="仿宋" w:eastAsia="仿宋"/>
          <w:bCs/>
        </w:rPr>
        <w:t>万元、办公室搬迁劳务费8</w:t>
      </w:r>
      <w:r>
        <w:rPr>
          <w:rFonts w:ascii="仿宋" w:hAnsi="仿宋" w:eastAsia="仿宋"/>
          <w:bCs/>
        </w:rPr>
        <w:t>.89</w:t>
      </w:r>
      <w:r>
        <w:rPr>
          <w:rFonts w:hint="eastAsia" w:ascii="仿宋" w:hAnsi="仿宋" w:eastAsia="仿宋"/>
          <w:bCs/>
        </w:rPr>
        <w:t>万元。上述经费超出</w:t>
      </w:r>
      <w:r>
        <w:rPr>
          <w:rFonts w:hint="eastAsia" w:ascii="仿宋" w:hAnsi="仿宋" w:eastAsia="仿宋"/>
        </w:rPr>
        <w:t>旅游发展专项资金列支范围。</w:t>
      </w:r>
    </w:p>
    <w:p>
      <w:pPr>
        <w:pStyle w:val="12"/>
        <w:adjustRightInd w:val="0"/>
        <w:snapToGrid w:val="0"/>
        <w:spacing w:before="0" w:beforeAutospacing="0" w:after="0" w:afterAutospacing="0" w:line="360" w:lineRule="auto"/>
        <w:ind w:firstLine="480"/>
        <w:rPr>
          <w:rFonts w:ascii="仿宋" w:hAnsi="仿宋" w:eastAsia="仿宋"/>
          <w:bCs/>
        </w:rPr>
      </w:pPr>
      <w:r>
        <w:rPr>
          <w:rFonts w:hint="eastAsia" w:ascii="仿宋" w:hAnsi="仿宋" w:eastAsia="仿宋"/>
        </w:rPr>
        <w:t>（2）调整列支非计划项目。南温泉风景区管理处于2019年10于30日向区文旅委提交《关于申请南温泉景区品质提升专项补助经费的请示》（南泉分管文〔</w:t>
      </w:r>
      <w:r>
        <w:rPr>
          <w:rFonts w:ascii="仿宋" w:hAnsi="仿宋" w:eastAsia="仿宋"/>
        </w:rPr>
        <w:t>2019</w:t>
      </w:r>
      <w:r>
        <w:rPr>
          <w:rFonts w:hint="eastAsia" w:ascii="仿宋" w:hAnsi="仿宋" w:eastAsia="仿宋"/>
        </w:rPr>
        <w:t>〕8号），申请旅游发展专项资金60万元，一是用于</w:t>
      </w:r>
      <w:r>
        <w:rPr>
          <w:rFonts w:hint="eastAsia" w:ascii="仿宋" w:hAnsi="仿宋" w:eastAsia="仿宋"/>
          <w:bCs/>
        </w:rPr>
        <w:t>解放重庆主战场遗址周边环境整治35万元，二是用于花滩桥南桥头绿地集中整治15万元，三是用于景区视频监控系统10万元。该事项经区文旅委请示区政府后获得批准。但根据</w:t>
      </w:r>
      <w:r>
        <w:rPr>
          <w:rFonts w:hint="eastAsia" w:ascii="仿宋" w:hAnsi="仿宋" w:eastAsia="仿宋"/>
        </w:rPr>
        <w:t>南温泉风景区管理处提供的</w:t>
      </w:r>
      <w:r>
        <w:rPr>
          <w:rFonts w:hint="eastAsia" w:ascii="仿宋" w:hAnsi="仿宋" w:eastAsia="仿宋"/>
          <w:bCs/>
        </w:rPr>
        <w:t>项目资料显示，上述资金实际用于解放重庆主战场遗址周边环境整治4</w:t>
      </w:r>
      <w:r>
        <w:rPr>
          <w:rFonts w:ascii="仿宋" w:hAnsi="仿宋" w:eastAsia="仿宋"/>
          <w:bCs/>
        </w:rPr>
        <w:t>3.68</w:t>
      </w:r>
      <w:r>
        <w:rPr>
          <w:rFonts w:hint="eastAsia" w:ascii="仿宋" w:hAnsi="仿宋" w:eastAsia="仿宋"/>
          <w:bCs/>
        </w:rPr>
        <w:t>万元（计划内项目）、南温泉景区长南桥至炒油场路段景观栏杆修复1</w:t>
      </w:r>
      <w:r>
        <w:rPr>
          <w:rFonts w:ascii="仿宋" w:hAnsi="仿宋" w:eastAsia="仿宋"/>
          <w:bCs/>
        </w:rPr>
        <w:t>7.39</w:t>
      </w:r>
      <w:r>
        <w:rPr>
          <w:rFonts w:hint="eastAsia" w:ascii="仿宋" w:hAnsi="仿宋" w:eastAsia="仿宋"/>
          <w:bCs/>
        </w:rPr>
        <w:t>万元（计划外项目）、景区视频监控系统1</w:t>
      </w:r>
      <w:r>
        <w:rPr>
          <w:rFonts w:ascii="仿宋" w:hAnsi="仿宋" w:eastAsia="仿宋"/>
          <w:bCs/>
        </w:rPr>
        <w:t>.14</w:t>
      </w:r>
      <w:r>
        <w:rPr>
          <w:rFonts w:hint="eastAsia" w:ascii="仿宋" w:hAnsi="仿宋" w:eastAsia="仿宋"/>
          <w:bCs/>
        </w:rPr>
        <w:t>万元（计划内项目），资金列支计划外项目且已超支使用，致使计划实施的花滩桥南桥头绿地集中整治项目出现资金缺口。据南温泉</w:t>
      </w:r>
      <w:r>
        <w:rPr>
          <w:rFonts w:hint="eastAsia" w:ascii="仿宋" w:hAnsi="仿宋" w:eastAsia="仿宋"/>
        </w:rPr>
        <w:t>风景区管理处</w:t>
      </w:r>
      <w:r>
        <w:rPr>
          <w:rFonts w:hint="eastAsia" w:ascii="仿宋" w:hAnsi="仿宋" w:eastAsia="仿宋"/>
          <w:bCs/>
        </w:rPr>
        <w:t>介绍，截止2</w:t>
      </w:r>
      <w:r>
        <w:rPr>
          <w:rFonts w:ascii="仿宋" w:hAnsi="仿宋" w:eastAsia="仿宋"/>
          <w:bCs/>
        </w:rPr>
        <w:t>020</w:t>
      </w:r>
      <w:r>
        <w:rPr>
          <w:rFonts w:hint="eastAsia" w:ascii="仿宋" w:hAnsi="仿宋" w:eastAsia="仿宋"/>
          <w:bCs/>
        </w:rPr>
        <w:t>年6月30日，花滩桥南桥头绿地集中整治项目仍在实施中，尚未完工也未支付款项。此外，南温泉</w:t>
      </w:r>
      <w:r>
        <w:rPr>
          <w:rFonts w:hint="eastAsia" w:ascii="仿宋" w:hAnsi="仿宋" w:eastAsia="仿宋"/>
        </w:rPr>
        <w:t>风景区管理处</w:t>
      </w:r>
      <w:r>
        <w:rPr>
          <w:rFonts w:hint="eastAsia" w:ascii="仿宋" w:hAnsi="仿宋" w:eastAsia="仿宋"/>
          <w:bCs/>
        </w:rPr>
        <w:t>未对专项资金进行明细核算，项目资金使用情况不够清晰。</w:t>
      </w:r>
    </w:p>
    <w:p>
      <w:pPr>
        <w:pStyle w:val="12"/>
        <w:adjustRightInd w:val="0"/>
        <w:snapToGrid w:val="0"/>
        <w:spacing w:before="0" w:beforeAutospacing="0" w:after="0" w:afterAutospacing="0" w:line="360" w:lineRule="auto"/>
        <w:ind w:firstLine="482" w:firstLineChars="200"/>
        <w:rPr>
          <w:rFonts w:ascii="仿宋" w:hAnsi="仿宋" w:eastAsia="仿宋"/>
          <w:b/>
        </w:rPr>
      </w:pPr>
      <w:r>
        <w:rPr>
          <w:rFonts w:hint="eastAsia" w:ascii="仿宋" w:hAnsi="仿宋" w:eastAsia="仿宋"/>
          <w:b/>
        </w:rPr>
        <w:t>建议：</w:t>
      </w:r>
    </w:p>
    <w:p>
      <w:pPr>
        <w:pStyle w:val="12"/>
        <w:adjustRightInd w:val="0"/>
        <w:snapToGrid w:val="0"/>
        <w:spacing w:before="0" w:beforeAutospacing="0" w:after="0" w:afterAutospacing="0" w:line="360" w:lineRule="auto"/>
        <w:ind w:firstLine="480" w:firstLineChars="200"/>
        <w:rPr>
          <w:rFonts w:ascii="仿宋" w:hAnsi="仿宋" w:eastAsia="仿宋"/>
        </w:rPr>
      </w:pPr>
      <w:r>
        <w:rPr>
          <w:rFonts w:hint="eastAsia" w:ascii="仿宋" w:hAnsi="仿宋" w:eastAsia="仿宋"/>
        </w:rPr>
        <w:t>进一步加强旅游发展专项资金使用管理，确保专项资金列支范围符合规定，资金用途符合计划用途。另外，应进一步规范专项资金财务核算，建立专门明细科目，以清晰完整反映专项资金收支情况。</w:t>
      </w:r>
    </w:p>
    <w:p>
      <w:pPr>
        <w:pStyle w:val="12"/>
        <w:adjustRightInd w:val="0"/>
        <w:snapToGrid w:val="0"/>
        <w:spacing w:before="0" w:beforeAutospacing="0" w:after="0" w:afterAutospacing="0" w:line="360" w:lineRule="auto"/>
        <w:ind w:firstLine="482" w:firstLineChars="200"/>
        <w:rPr>
          <w:rFonts w:ascii="仿宋" w:hAnsi="仿宋" w:eastAsia="仿宋"/>
          <w:b/>
        </w:rPr>
      </w:pPr>
      <w:r>
        <w:rPr>
          <w:rFonts w:ascii="仿宋" w:hAnsi="仿宋" w:eastAsia="仿宋"/>
          <w:b/>
        </w:rPr>
        <w:t>2</w:t>
      </w:r>
      <w:r>
        <w:rPr>
          <w:rFonts w:hint="eastAsia" w:ascii="仿宋" w:hAnsi="仿宋" w:eastAsia="仿宋"/>
          <w:b/>
        </w:rPr>
        <w:t>、切块资金监督管理相对薄弱。</w:t>
      </w:r>
    </w:p>
    <w:p>
      <w:pPr>
        <w:pStyle w:val="12"/>
        <w:adjustRightInd w:val="0"/>
        <w:snapToGrid w:val="0"/>
        <w:spacing w:before="0" w:beforeAutospacing="0" w:after="0" w:afterAutospacing="0" w:line="360" w:lineRule="auto"/>
        <w:ind w:firstLine="480" w:firstLineChars="200"/>
        <w:rPr>
          <w:rFonts w:ascii="仿宋" w:hAnsi="仿宋" w:eastAsia="仿宋"/>
        </w:rPr>
      </w:pPr>
      <w:r>
        <w:rPr>
          <w:rFonts w:hint="eastAsia" w:ascii="仿宋" w:hAnsi="仿宋" w:eastAsia="仿宋"/>
          <w:bCs/>
        </w:rPr>
        <w:t>2</w:t>
      </w:r>
      <w:r>
        <w:rPr>
          <w:rFonts w:ascii="仿宋" w:hAnsi="仿宋" w:eastAsia="仿宋"/>
          <w:bCs/>
        </w:rPr>
        <w:t>019</w:t>
      </w:r>
      <w:r>
        <w:rPr>
          <w:rFonts w:hint="eastAsia" w:ascii="仿宋" w:hAnsi="仿宋" w:eastAsia="仿宋"/>
          <w:bCs/>
        </w:rPr>
        <w:t>年巴南区旅游发展专项资金，按资金安排计划，其中3</w:t>
      </w:r>
      <w:r>
        <w:rPr>
          <w:rFonts w:ascii="仿宋" w:hAnsi="仿宋" w:eastAsia="仿宋"/>
          <w:bCs/>
        </w:rPr>
        <w:t>25</w:t>
      </w:r>
      <w:r>
        <w:rPr>
          <w:rFonts w:hint="eastAsia" w:ascii="仿宋" w:hAnsi="仿宋" w:eastAsia="仿宋"/>
          <w:bCs/>
        </w:rPr>
        <w:t>万元切块交由各镇街/单位实施，</w:t>
      </w:r>
      <w:r>
        <w:rPr>
          <w:rFonts w:hint="eastAsia" w:ascii="仿宋" w:hAnsi="仿宋" w:eastAsia="仿宋"/>
        </w:rPr>
        <w:t>其中丰盛镇2</w:t>
      </w:r>
      <w:r>
        <w:rPr>
          <w:rFonts w:ascii="仿宋" w:hAnsi="仿宋" w:eastAsia="仿宋"/>
        </w:rPr>
        <w:t>00</w:t>
      </w:r>
      <w:r>
        <w:rPr>
          <w:rFonts w:hint="eastAsia" w:ascii="仿宋" w:hAnsi="仿宋" w:eastAsia="仿宋"/>
        </w:rPr>
        <w:t>万元，南温泉风管处5</w:t>
      </w:r>
      <w:r>
        <w:rPr>
          <w:rFonts w:ascii="仿宋" w:hAnsi="仿宋" w:eastAsia="仿宋"/>
        </w:rPr>
        <w:t>0</w:t>
      </w:r>
      <w:r>
        <w:rPr>
          <w:rFonts w:hint="eastAsia" w:ascii="仿宋" w:hAnsi="仿宋" w:eastAsia="仿宋"/>
        </w:rPr>
        <w:t>万元，南泉街道1</w:t>
      </w:r>
      <w:r>
        <w:rPr>
          <w:rFonts w:ascii="仿宋" w:hAnsi="仿宋" w:eastAsia="仿宋"/>
        </w:rPr>
        <w:t>0</w:t>
      </w:r>
      <w:r>
        <w:rPr>
          <w:rFonts w:hint="eastAsia" w:ascii="仿宋" w:hAnsi="仿宋" w:eastAsia="仿宋"/>
        </w:rPr>
        <w:t>万元，天星寺镇4</w:t>
      </w:r>
      <w:r>
        <w:rPr>
          <w:rFonts w:ascii="仿宋" w:hAnsi="仿宋" w:eastAsia="仿宋"/>
        </w:rPr>
        <w:t>0</w:t>
      </w:r>
      <w:r>
        <w:rPr>
          <w:rFonts w:hint="eastAsia" w:ascii="仿宋" w:hAnsi="仿宋" w:eastAsia="仿宋"/>
        </w:rPr>
        <w:t>万元，二圣镇2</w:t>
      </w:r>
      <w:r>
        <w:rPr>
          <w:rFonts w:ascii="仿宋" w:hAnsi="仿宋" w:eastAsia="仿宋"/>
        </w:rPr>
        <w:t>0</w:t>
      </w:r>
      <w:r>
        <w:rPr>
          <w:rFonts w:hint="eastAsia" w:ascii="仿宋" w:hAnsi="仿宋" w:eastAsia="仿宋"/>
        </w:rPr>
        <w:t>万元，惠民街道5万元。</w:t>
      </w:r>
    </w:p>
    <w:p>
      <w:pPr>
        <w:pStyle w:val="12"/>
        <w:adjustRightInd w:val="0"/>
        <w:snapToGrid w:val="0"/>
        <w:spacing w:before="0" w:beforeAutospacing="0" w:after="0" w:afterAutospacing="0" w:line="360" w:lineRule="auto"/>
        <w:ind w:firstLine="480" w:firstLineChars="200"/>
        <w:rPr>
          <w:rFonts w:ascii="仿宋" w:hAnsi="仿宋" w:eastAsia="仿宋"/>
        </w:rPr>
      </w:pPr>
      <w:r>
        <w:rPr>
          <w:rFonts w:hint="eastAsia" w:ascii="仿宋" w:hAnsi="仿宋" w:eastAsia="仿宋"/>
        </w:rPr>
        <w:t>评价发现，切块资金安排的项目由各镇街/单位自行实施并管理，区级层面缺乏对项目实施内容、实施进度以及资金使用情况的监督管理，也未对切块资金相关项目进行区级抽查或验收。</w:t>
      </w:r>
      <w:r>
        <w:rPr>
          <w:rFonts w:hint="eastAsia" w:ascii="仿宋" w:hAnsi="仿宋" w:eastAsia="仿宋"/>
          <w:bCs/>
        </w:rPr>
        <w:t>上述情况表明</w:t>
      </w:r>
      <w:r>
        <w:rPr>
          <w:rFonts w:hint="eastAsia" w:ascii="仿宋" w:hAnsi="仿宋" w:eastAsia="仿宋"/>
        </w:rPr>
        <w:t>对切块资金项目监督管理还相对薄弱。</w:t>
      </w:r>
    </w:p>
    <w:p>
      <w:pPr>
        <w:pStyle w:val="12"/>
        <w:adjustRightInd w:val="0"/>
        <w:snapToGrid w:val="0"/>
        <w:spacing w:before="0" w:beforeAutospacing="0" w:after="0" w:afterAutospacing="0" w:line="360" w:lineRule="auto"/>
        <w:ind w:firstLine="482" w:firstLineChars="200"/>
        <w:rPr>
          <w:rFonts w:ascii="仿宋" w:hAnsi="仿宋" w:eastAsia="仿宋"/>
          <w:b/>
        </w:rPr>
      </w:pPr>
      <w:r>
        <w:rPr>
          <w:rFonts w:hint="eastAsia" w:ascii="仿宋" w:hAnsi="仿宋" w:eastAsia="仿宋"/>
          <w:b/>
        </w:rPr>
        <w:t>建议：</w:t>
      </w:r>
    </w:p>
    <w:p>
      <w:pPr>
        <w:pStyle w:val="12"/>
        <w:adjustRightInd w:val="0"/>
        <w:snapToGrid w:val="0"/>
        <w:spacing w:before="0" w:beforeAutospacing="0" w:after="0" w:afterAutospacing="0" w:line="360" w:lineRule="auto"/>
        <w:ind w:firstLine="480" w:firstLineChars="200"/>
        <w:rPr>
          <w:rFonts w:ascii="仿宋" w:hAnsi="仿宋" w:eastAsia="仿宋"/>
          <w:bCs/>
        </w:rPr>
      </w:pPr>
      <w:r>
        <w:rPr>
          <w:rFonts w:hint="eastAsia" w:ascii="仿宋" w:hAnsi="仿宋" w:eastAsia="仿宋"/>
          <w:bCs/>
        </w:rPr>
        <w:t>重视对切块资金安排项目的管理，加强对项目实施情况、实施进度、资金使用情况的指导和监督，同时建议建立区级抽查或验收机制。</w:t>
      </w:r>
    </w:p>
    <w:p>
      <w:pPr>
        <w:pStyle w:val="12"/>
        <w:adjustRightInd w:val="0"/>
        <w:snapToGrid w:val="0"/>
        <w:spacing w:before="0" w:beforeAutospacing="0" w:after="0" w:afterAutospacing="0" w:line="360" w:lineRule="auto"/>
        <w:ind w:firstLine="482" w:firstLineChars="200"/>
        <w:rPr>
          <w:rFonts w:ascii="仿宋" w:hAnsi="仿宋" w:eastAsia="仿宋"/>
          <w:b/>
        </w:rPr>
      </w:pPr>
      <w:r>
        <w:rPr>
          <w:rFonts w:hint="eastAsia" w:ascii="仿宋" w:hAnsi="仿宋" w:eastAsia="仿宋"/>
          <w:b/>
        </w:rPr>
        <w:t>3、项目整体实施进度较慢。</w:t>
      </w:r>
    </w:p>
    <w:p>
      <w:pPr>
        <w:pStyle w:val="12"/>
        <w:adjustRightInd w:val="0"/>
        <w:snapToGrid w:val="0"/>
        <w:spacing w:before="0" w:beforeAutospacing="0" w:after="0" w:afterAutospacing="0" w:line="360" w:lineRule="auto"/>
        <w:ind w:firstLine="480" w:firstLineChars="200"/>
        <w:rPr>
          <w:rFonts w:ascii="仿宋" w:hAnsi="仿宋" w:eastAsia="仿宋"/>
        </w:rPr>
      </w:pPr>
      <w:r>
        <w:rPr>
          <w:rFonts w:hint="eastAsia" w:ascii="仿宋" w:hAnsi="仿宋" w:eastAsia="仿宋"/>
        </w:rPr>
        <w:t>（1）全域旅游策划工作滞后。全域旅游策划工作列入2019年旅游专项资金项目，但该项目于201</w:t>
      </w:r>
      <w:r>
        <w:rPr>
          <w:rFonts w:ascii="仿宋" w:hAnsi="仿宋" w:eastAsia="仿宋"/>
        </w:rPr>
        <w:t>9</w:t>
      </w:r>
      <w:r>
        <w:rPr>
          <w:rFonts w:hint="eastAsia" w:ascii="仿宋" w:hAnsi="仿宋" w:eastAsia="仿宋"/>
        </w:rPr>
        <w:t>年1</w:t>
      </w:r>
      <w:r>
        <w:rPr>
          <w:rFonts w:ascii="仿宋" w:hAnsi="仿宋" w:eastAsia="仿宋"/>
        </w:rPr>
        <w:t>2</w:t>
      </w:r>
      <w:r>
        <w:rPr>
          <w:rFonts w:hint="eastAsia" w:ascii="仿宋" w:hAnsi="仿宋" w:eastAsia="仿宋"/>
        </w:rPr>
        <w:t>月才完成政府采购并签订合同，截止2</w:t>
      </w:r>
      <w:r>
        <w:rPr>
          <w:rFonts w:ascii="仿宋" w:hAnsi="仿宋" w:eastAsia="仿宋"/>
        </w:rPr>
        <w:t>020</w:t>
      </w:r>
      <w:r>
        <w:rPr>
          <w:rFonts w:hint="eastAsia" w:ascii="仿宋" w:hAnsi="仿宋" w:eastAsia="仿宋"/>
        </w:rPr>
        <w:t>年6月30日，仅提交了第一阶段的成果。全域旅游整合发展与运营策划是巴南区全域旅游开发、建设和管理的长期性、全局性、决策性纲领文件，指导巴南区全域旅游发展方向。根据《关于加快全域旅游发展的实施意见》（巴南委发〔</w:t>
      </w:r>
      <w:r>
        <w:rPr>
          <w:rFonts w:ascii="仿宋" w:hAnsi="仿宋" w:eastAsia="仿宋"/>
        </w:rPr>
        <w:t>201</w:t>
      </w:r>
      <w:r>
        <w:rPr>
          <w:rFonts w:hint="eastAsia" w:ascii="仿宋" w:hAnsi="仿宋" w:eastAsia="仿宋"/>
        </w:rPr>
        <w:t>8〕35号），到2</w:t>
      </w:r>
      <w:r>
        <w:rPr>
          <w:rFonts w:ascii="仿宋" w:hAnsi="仿宋" w:eastAsia="仿宋"/>
        </w:rPr>
        <w:t>020</w:t>
      </w:r>
      <w:r>
        <w:rPr>
          <w:rFonts w:hint="eastAsia" w:ascii="仿宋" w:hAnsi="仿宋" w:eastAsia="仿宋"/>
        </w:rPr>
        <w:t>年巴南区全域旅游发展大格局要基本形成。全域旅游策划工作滞后，或对巴南区全域旅游发展整体推进造成一定影响。</w:t>
      </w:r>
    </w:p>
    <w:p>
      <w:pPr>
        <w:pStyle w:val="12"/>
        <w:adjustRightInd w:val="0"/>
        <w:snapToGrid w:val="0"/>
        <w:spacing w:before="0" w:beforeAutospacing="0" w:after="0" w:afterAutospacing="0" w:line="360" w:lineRule="auto"/>
        <w:ind w:firstLine="480" w:firstLineChars="200"/>
        <w:rPr>
          <w:rFonts w:ascii="仿宋" w:hAnsi="仿宋" w:eastAsia="仿宋"/>
        </w:rPr>
      </w:pPr>
      <w:r>
        <w:rPr>
          <w:rFonts w:hint="eastAsia" w:ascii="仿宋" w:hAnsi="仿宋" w:eastAsia="仿宋"/>
        </w:rPr>
        <w:t>（2）具体项目实施进度较慢。如：丰盛镇实施的丰盛古镇通景公路沿线及核心景区导视导览提升工程，于</w:t>
      </w:r>
      <w:r>
        <w:rPr>
          <w:rFonts w:ascii="仿宋" w:hAnsi="仿宋" w:eastAsia="仿宋"/>
        </w:rPr>
        <w:t>2019</w:t>
      </w:r>
      <w:r>
        <w:rPr>
          <w:rFonts w:hint="eastAsia" w:ascii="仿宋" w:hAnsi="仿宋" w:eastAsia="仿宋"/>
        </w:rPr>
        <w:t>年</w:t>
      </w:r>
      <w:r>
        <w:rPr>
          <w:rFonts w:ascii="仿宋" w:hAnsi="仿宋" w:eastAsia="仿宋"/>
        </w:rPr>
        <w:t>1</w:t>
      </w:r>
      <w:r>
        <w:rPr>
          <w:rFonts w:hint="eastAsia" w:ascii="仿宋" w:hAnsi="仿宋" w:eastAsia="仿宋"/>
        </w:rPr>
        <w:t>月开始设计，但项目于</w:t>
      </w:r>
      <w:r>
        <w:rPr>
          <w:rFonts w:ascii="仿宋" w:hAnsi="仿宋" w:eastAsia="仿宋"/>
        </w:rPr>
        <w:t>2020</w:t>
      </w:r>
      <w:r>
        <w:rPr>
          <w:rFonts w:hint="eastAsia" w:ascii="仿宋" w:hAnsi="仿宋" w:eastAsia="仿宋"/>
        </w:rPr>
        <w:t>年</w:t>
      </w:r>
      <w:r>
        <w:rPr>
          <w:rFonts w:ascii="仿宋" w:hAnsi="仿宋" w:eastAsia="仿宋"/>
        </w:rPr>
        <w:t>6</w:t>
      </w:r>
      <w:r>
        <w:rPr>
          <w:rFonts w:hint="eastAsia" w:ascii="仿宋" w:hAnsi="仿宋" w:eastAsia="仿宋"/>
        </w:rPr>
        <w:t>月</w:t>
      </w:r>
      <w:r>
        <w:rPr>
          <w:rFonts w:ascii="仿宋" w:hAnsi="仿宋" w:eastAsia="仿宋"/>
        </w:rPr>
        <w:t>20</w:t>
      </w:r>
      <w:r>
        <w:rPr>
          <w:rFonts w:hint="eastAsia" w:ascii="仿宋" w:hAnsi="仿宋" w:eastAsia="仿宋"/>
        </w:rPr>
        <w:t>日才完成施工，目前项目验收及结算工作尚未开展。南温泉风景区管理处实施的花滩桥南桥头绿地集中整治项目，截止</w:t>
      </w:r>
      <w:r>
        <w:rPr>
          <w:rFonts w:ascii="仿宋" w:hAnsi="仿宋" w:eastAsia="仿宋"/>
        </w:rPr>
        <w:t>2020</w:t>
      </w:r>
      <w:r>
        <w:rPr>
          <w:rFonts w:hint="eastAsia" w:ascii="仿宋" w:hAnsi="仿宋" w:eastAsia="仿宋"/>
        </w:rPr>
        <w:t>年6月30日项目尚未完工。</w:t>
      </w:r>
    </w:p>
    <w:p>
      <w:pPr>
        <w:pStyle w:val="12"/>
        <w:adjustRightInd w:val="0"/>
        <w:snapToGrid w:val="0"/>
        <w:spacing w:before="0" w:beforeAutospacing="0" w:after="0" w:afterAutospacing="0" w:line="360" w:lineRule="auto"/>
        <w:ind w:firstLine="480" w:firstLineChars="200"/>
        <w:rPr>
          <w:rFonts w:ascii="仿宋" w:hAnsi="仿宋" w:eastAsia="仿宋"/>
          <w:bCs/>
        </w:rPr>
      </w:pPr>
      <w:r>
        <w:rPr>
          <w:rFonts w:hint="eastAsia" w:ascii="仿宋" w:hAnsi="仿宋" w:eastAsia="仿宋"/>
          <w:bCs/>
        </w:rPr>
        <w:t>项目整体实施进度较慢，亦影响专项资金整体支出进度，截止2</w:t>
      </w:r>
      <w:r>
        <w:rPr>
          <w:rFonts w:ascii="仿宋" w:hAnsi="仿宋" w:eastAsia="仿宋"/>
          <w:bCs/>
        </w:rPr>
        <w:t>019</w:t>
      </w:r>
      <w:r>
        <w:rPr>
          <w:rFonts w:hint="eastAsia" w:ascii="仿宋" w:hAnsi="仿宋" w:eastAsia="仿宋"/>
          <w:bCs/>
        </w:rPr>
        <w:t>年1</w:t>
      </w:r>
      <w:r>
        <w:rPr>
          <w:rFonts w:ascii="仿宋" w:hAnsi="仿宋" w:eastAsia="仿宋"/>
          <w:bCs/>
        </w:rPr>
        <w:t>2</w:t>
      </w:r>
      <w:r>
        <w:rPr>
          <w:rFonts w:hint="eastAsia" w:ascii="仿宋" w:hAnsi="仿宋" w:eastAsia="仿宋"/>
          <w:bCs/>
        </w:rPr>
        <w:t>月3</w:t>
      </w:r>
      <w:r>
        <w:rPr>
          <w:rFonts w:ascii="仿宋" w:hAnsi="仿宋" w:eastAsia="仿宋"/>
          <w:bCs/>
        </w:rPr>
        <w:t>1</w:t>
      </w:r>
      <w:r>
        <w:rPr>
          <w:rFonts w:hint="eastAsia" w:ascii="仿宋" w:hAnsi="仿宋" w:eastAsia="仿宋"/>
          <w:bCs/>
        </w:rPr>
        <w:t>日，旅游发展专项资金1500万元实际共支出1</w:t>
      </w:r>
      <w:r>
        <w:rPr>
          <w:rFonts w:ascii="仿宋" w:hAnsi="仿宋" w:eastAsia="仿宋"/>
          <w:bCs/>
        </w:rPr>
        <w:t>045.23</w:t>
      </w:r>
      <w:r>
        <w:rPr>
          <w:rFonts w:hint="eastAsia" w:ascii="仿宋" w:hAnsi="仿宋" w:eastAsia="仿宋"/>
          <w:bCs/>
        </w:rPr>
        <w:t>万元，支出比例6</w:t>
      </w:r>
      <w:r>
        <w:rPr>
          <w:rFonts w:ascii="仿宋" w:hAnsi="仿宋" w:eastAsia="仿宋"/>
          <w:bCs/>
        </w:rPr>
        <w:t>9.68</w:t>
      </w:r>
      <w:r>
        <w:rPr>
          <w:rFonts w:hint="eastAsia" w:ascii="仿宋" w:hAnsi="仿宋" w:eastAsia="仿宋"/>
          <w:bCs/>
        </w:rPr>
        <w:t>%。</w:t>
      </w:r>
    </w:p>
    <w:p>
      <w:pPr>
        <w:pStyle w:val="12"/>
        <w:adjustRightInd w:val="0"/>
        <w:snapToGrid w:val="0"/>
        <w:spacing w:before="0" w:beforeAutospacing="0" w:after="0" w:afterAutospacing="0" w:line="360" w:lineRule="auto"/>
        <w:ind w:firstLine="482" w:firstLineChars="200"/>
        <w:rPr>
          <w:rFonts w:ascii="仿宋" w:hAnsi="仿宋" w:eastAsia="仿宋"/>
          <w:b/>
        </w:rPr>
      </w:pPr>
      <w:r>
        <w:rPr>
          <w:rFonts w:hint="eastAsia" w:ascii="仿宋" w:hAnsi="仿宋" w:eastAsia="仿宋"/>
          <w:b/>
        </w:rPr>
        <w:t>建议：</w:t>
      </w:r>
    </w:p>
    <w:p>
      <w:pPr>
        <w:pStyle w:val="12"/>
        <w:adjustRightInd w:val="0"/>
        <w:snapToGrid w:val="0"/>
        <w:spacing w:before="0" w:beforeAutospacing="0" w:after="0" w:afterAutospacing="0" w:line="360" w:lineRule="auto"/>
        <w:ind w:firstLine="480" w:firstLineChars="200"/>
        <w:rPr>
          <w:rFonts w:ascii="仿宋" w:hAnsi="仿宋" w:eastAsia="仿宋"/>
        </w:rPr>
      </w:pPr>
      <w:r>
        <w:rPr>
          <w:rFonts w:hint="eastAsia" w:ascii="仿宋" w:hAnsi="仿宋" w:eastAsia="仿宋"/>
        </w:rPr>
        <w:t>高度重视全域旅游策划工作，加快进度高质量完成，以尽快指导巴南区全域旅游按蓝图有序推进。针对具体项目，应进一步加强各环节时间管理，切实提高执行效率，尽快让项目交付使用及时发挥效益。</w:t>
      </w:r>
    </w:p>
    <w:p>
      <w:pPr>
        <w:pStyle w:val="12"/>
        <w:adjustRightInd w:val="0"/>
        <w:snapToGrid w:val="0"/>
        <w:spacing w:before="0" w:beforeAutospacing="0" w:after="0" w:afterAutospacing="0" w:line="360" w:lineRule="auto"/>
        <w:ind w:firstLine="482" w:firstLineChars="200"/>
        <w:rPr>
          <w:rFonts w:ascii="仿宋" w:hAnsi="仿宋" w:eastAsia="仿宋"/>
          <w:b/>
        </w:rPr>
      </w:pPr>
      <w:r>
        <w:rPr>
          <w:rFonts w:hint="eastAsia" w:ascii="仿宋" w:hAnsi="仿宋" w:eastAsia="仿宋"/>
          <w:b/>
        </w:rPr>
        <w:t>4、计划项目存在调整。</w:t>
      </w:r>
    </w:p>
    <w:p>
      <w:pPr>
        <w:pStyle w:val="12"/>
        <w:adjustRightInd w:val="0"/>
        <w:snapToGrid w:val="0"/>
        <w:spacing w:before="0" w:beforeAutospacing="0" w:after="0" w:afterAutospacing="0" w:line="360" w:lineRule="auto"/>
        <w:ind w:firstLine="480" w:firstLineChars="200"/>
        <w:rPr>
          <w:rFonts w:ascii="仿宋" w:hAnsi="仿宋" w:eastAsia="仿宋"/>
          <w:bCs/>
        </w:rPr>
      </w:pPr>
      <w:r>
        <w:rPr>
          <w:rFonts w:ascii="仿宋" w:hAnsi="仿宋" w:eastAsia="仿宋"/>
          <w:bCs/>
        </w:rPr>
        <w:t>2019</w:t>
      </w:r>
      <w:r>
        <w:rPr>
          <w:rFonts w:hint="eastAsia" w:ascii="仿宋" w:hAnsi="仿宋" w:eastAsia="仿宋"/>
          <w:bCs/>
        </w:rPr>
        <w:t>年计划实施的项目调减的包括：（1）旅游环线定制公交补助100万元暂不实施，原因为经过调研目前开通的公交车基本满足现有游客需求，旅游环线定制公交补助项目暂无需实施。（2）旅游行业培训项目调减3</w:t>
      </w:r>
      <w:r>
        <w:rPr>
          <w:rFonts w:ascii="仿宋" w:hAnsi="仿宋" w:eastAsia="仿宋"/>
          <w:bCs/>
        </w:rPr>
        <w:t>0</w:t>
      </w:r>
      <w:r>
        <w:rPr>
          <w:rFonts w:hint="eastAsia" w:ascii="仿宋" w:hAnsi="仿宋" w:eastAsia="仿宋"/>
          <w:bCs/>
        </w:rPr>
        <w:t>万元，原因为2</w:t>
      </w:r>
      <w:r>
        <w:rPr>
          <w:rFonts w:ascii="仿宋" w:hAnsi="仿宋" w:eastAsia="仿宋"/>
          <w:bCs/>
        </w:rPr>
        <w:t>019</w:t>
      </w:r>
      <w:r>
        <w:rPr>
          <w:rFonts w:hint="eastAsia" w:ascii="仿宋" w:hAnsi="仿宋" w:eastAsia="仿宋"/>
          <w:bCs/>
        </w:rPr>
        <w:t>年度培训工作由区文旅委和区农委共同实施，费用由两个单位分摊故调减3</w:t>
      </w:r>
      <w:r>
        <w:rPr>
          <w:rFonts w:ascii="仿宋" w:hAnsi="仿宋" w:eastAsia="仿宋"/>
          <w:bCs/>
        </w:rPr>
        <w:t>0</w:t>
      </w:r>
      <w:r>
        <w:rPr>
          <w:rFonts w:hint="eastAsia" w:ascii="仿宋" w:hAnsi="仿宋" w:eastAsia="仿宋"/>
          <w:bCs/>
        </w:rPr>
        <w:t>万元。（3）精品景区提档升级工程调减</w:t>
      </w:r>
      <w:r>
        <w:rPr>
          <w:rFonts w:ascii="仿宋" w:hAnsi="仿宋" w:eastAsia="仿宋"/>
          <w:bCs/>
        </w:rPr>
        <w:t>80</w:t>
      </w:r>
      <w:r>
        <w:rPr>
          <w:rFonts w:hint="eastAsia" w:ascii="仿宋" w:hAnsi="仿宋" w:eastAsia="仿宋"/>
          <w:bCs/>
        </w:rPr>
        <w:t>万元，其中2</w:t>
      </w:r>
      <w:r>
        <w:rPr>
          <w:rFonts w:ascii="仿宋" w:hAnsi="仿宋" w:eastAsia="仿宋"/>
          <w:bCs/>
        </w:rPr>
        <w:t>0</w:t>
      </w:r>
      <w:r>
        <w:rPr>
          <w:rFonts w:hint="eastAsia" w:ascii="仿宋" w:hAnsi="仿宋" w:eastAsia="仿宋"/>
          <w:bCs/>
        </w:rPr>
        <w:t>万元调减原因为精品景区提档升级工程中的标识标牌工作，因待安装路段目前基础工程还未完工，无法进行安装，故暂不实施；另外6</w:t>
      </w:r>
      <w:r>
        <w:rPr>
          <w:rFonts w:ascii="仿宋" w:hAnsi="仿宋" w:eastAsia="仿宋"/>
          <w:bCs/>
        </w:rPr>
        <w:t>0</w:t>
      </w:r>
      <w:r>
        <w:rPr>
          <w:rFonts w:hint="eastAsia" w:ascii="仿宋" w:hAnsi="仿宋" w:eastAsia="仿宋"/>
          <w:bCs/>
        </w:rPr>
        <w:t>万元调整用于南温泉景区环境整治及品质提升工作。</w:t>
      </w:r>
    </w:p>
    <w:p>
      <w:pPr>
        <w:pStyle w:val="12"/>
        <w:adjustRightInd w:val="0"/>
        <w:snapToGrid w:val="0"/>
        <w:spacing w:before="0" w:beforeAutospacing="0" w:after="0" w:afterAutospacing="0" w:line="360" w:lineRule="auto"/>
        <w:ind w:firstLine="480" w:firstLineChars="200"/>
        <w:rPr>
          <w:rFonts w:ascii="仿宋" w:hAnsi="仿宋" w:eastAsia="仿宋"/>
          <w:bCs/>
        </w:rPr>
      </w:pPr>
      <w:r>
        <w:rPr>
          <w:rFonts w:ascii="仿宋" w:hAnsi="仿宋" w:eastAsia="仿宋"/>
          <w:bCs/>
        </w:rPr>
        <w:t>2019</w:t>
      </w:r>
      <w:r>
        <w:rPr>
          <w:rFonts w:hint="eastAsia" w:ascii="仿宋" w:hAnsi="仿宋" w:eastAsia="仿宋"/>
          <w:bCs/>
        </w:rPr>
        <w:t>年调增的项目包括：（1）全域旅游策划项目由50万元调整为200万元。（2）增加实施南温泉景区环境整治及品质提升工作6</w:t>
      </w:r>
      <w:r>
        <w:rPr>
          <w:rFonts w:ascii="仿宋" w:hAnsi="仿宋" w:eastAsia="仿宋"/>
          <w:bCs/>
        </w:rPr>
        <w:t>0</w:t>
      </w:r>
      <w:r>
        <w:rPr>
          <w:rFonts w:hint="eastAsia" w:ascii="仿宋" w:hAnsi="仿宋" w:eastAsia="仿宋"/>
          <w:bCs/>
        </w:rPr>
        <w:t>万元。</w:t>
      </w:r>
    </w:p>
    <w:p>
      <w:pPr>
        <w:pStyle w:val="12"/>
        <w:adjustRightInd w:val="0"/>
        <w:snapToGrid w:val="0"/>
        <w:spacing w:before="0" w:beforeAutospacing="0" w:after="0" w:afterAutospacing="0" w:line="360" w:lineRule="auto"/>
        <w:ind w:firstLine="480" w:firstLineChars="200"/>
        <w:rPr>
          <w:rFonts w:ascii="仿宋" w:hAnsi="仿宋" w:eastAsia="仿宋"/>
          <w:bCs/>
        </w:rPr>
      </w:pPr>
      <w:r>
        <w:rPr>
          <w:rFonts w:hint="eastAsia" w:ascii="仿宋" w:hAnsi="仿宋" w:eastAsia="仿宋"/>
          <w:bCs/>
        </w:rPr>
        <w:t>上述情况表明，计划安排项目的前期论证工作还不充分，对项目实施的必要性、合理性、可行性、资金测算以及实施条件等论证不足。</w:t>
      </w:r>
    </w:p>
    <w:p>
      <w:pPr>
        <w:pStyle w:val="12"/>
        <w:adjustRightInd w:val="0"/>
        <w:snapToGrid w:val="0"/>
        <w:spacing w:before="0" w:beforeAutospacing="0" w:after="0" w:afterAutospacing="0" w:line="360" w:lineRule="auto"/>
        <w:ind w:firstLine="482" w:firstLineChars="200"/>
        <w:rPr>
          <w:rFonts w:ascii="仿宋" w:hAnsi="仿宋" w:eastAsia="仿宋"/>
          <w:b/>
        </w:rPr>
      </w:pPr>
      <w:r>
        <w:rPr>
          <w:rFonts w:hint="eastAsia" w:ascii="仿宋" w:hAnsi="仿宋" w:eastAsia="仿宋"/>
          <w:b/>
        </w:rPr>
        <w:t>建议：</w:t>
      </w:r>
    </w:p>
    <w:p>
      <w:pPr>
        <w:pStyle w:val="12"/>
        <w:adjustRightInd w:val="0"/>
        <w:snapToGrid w:val="0"/>
        <w:spacing w:before="0" w:beforeAutospacing="0" w:after="0" w:afterAutospacing="0" w:line="360" w:lineRule="auto"/>
        <w:ind w:firstLine="480" w:firstLineChars="200"/>
        <w:rPr>
          <w:rFonts w:ascii="仿宋" w:hAnsi="仿宋" w:eastAsia="仿宋"/>
          <w:bCs/>
        </w:rPr>
      </w:pPr>
      <w:r>
        <w:rPr>
          <w:rFonts w:hint="eastAsia" w:ascii="仿宋" w:hAnsi="仿宋" w:eastAsia="仿宋"/>
          <w:bCs/>
        </w:rPr>
        <w:t>针对旅游发展专项资金，建议分项目类别建立项目库，逐步完善项目申报、评审机制，加强申报项目的前期规划论证工作，增强实施方案的科学合理性、可行性和可靠性，明确细化各项经费预算。在此基础上，根据年度目标任务和项目轻重缓急合理安排资金项目，增强资金项目安排的精准性，减少实施过程中调整变更情况。</w:t>
      </w:r>
    </w:p>
    <w:p>
      <w:pPr>
        <w:pStyle w:val="12"/>
        <w:adjustRightInd w:val="0"/>
        <w:snapToGrid w:val="0"/>
        <w:spacing w:before="0" w:beforeAutospacing="0" w:after="0" w:afterAutospacing="0" w:line="360" w:lineRule="auto"/>
        <w:ind w:firstLine="482" w:firstLineChars="200"/>
        <w:rPr>
          <w:rFonts w:ascii="仿宋" w:hAnsi="仿宋" w:eastAsia="仿宋"/>
          <w:b/>
        </w:rPr>
      </w:pPr>
      <w:r>
        <w:rPr>
          <w:rFonts w:hint="eastAsia" w:ascii="仿宋" w:hAnsi="仿宋" w:eastAsia="仿宋"/>
          <w:b/>
        </w:rPr>
        <w:t>5、绩效目标设置和自评不规范。</w:t>
      </w:r>
    </w:p>
    <w:p>
      <w:pPr>
        <w:pStyle w:val="12"/>
        <w:adjustRightInd w:val="0"/>
        <w:snapToGrid w:val="0"/>
        <w:spacing w:before="0" w:beforeAutospacing="0" w:after="0" w:afterAutospacing="0" w:line="360" w:lineRule="auto"/>
        <w:ind w:firstLine="480" w:firstLineChars="200"/>
        <w:rPr>
          <w:rFonts w:ascii="仿宋" w:hAnsi="仿宋" w:eastAsia="仿宋"/>
          <w:bCs/>
        </w:rPr>
      </w:pPr>
      <w:r>
        <w:rPr>
          <w:rFonts w:hint="eastAsia" w:ascii="仿宋" w:hAnsi="仿宋" w:eastAsia="仿宋"/>
          <w:bCs/>
        </w:rPr>
        <w:t>2019年度旅游发展专项资金，年初虽然按要求进行了项目绩效目标申报，年末也进行了绩效目标自评。但绩效目标设置和自评工作均不规范。一是绩效目标申报表和绩效目标自评表中，产出指标未与资金安排项目结合，存在缺项漏项，产出指标与资金量和项目情况严重不匹配。二是绩效自评表中项目资金全年预算数应为1500万元，却填写为实际执行数863.21万元。三是绩效自评表中将年度工作任务作为年度总体目标不恰当。四是绩效指标中未设置满意度指标。</w:t>
      </w:r>
    </w:p>
    <w:p>
      <w:pPr>
        <w:pStyle w:val="12"/>
        <w:adjustRightInd w:val="0"/>
        <w:snapToGrid w:val="0"/>
        <w:spacing w:before="0" w:beforeAutospacing="0" w:after="0" w:afterAutospacing="0" w:line="360" w:lineRule="auto"/>
        <w:ind w:firstLine="480" w:firstLineChars="200"/>
        <w:rPr>
          <w:rFonts w:ascii="仿宋" w:hAnsi="仿宋" w:eastAsia="仿宋"/>
          <w:bCs/>
        </w:rPr>
      </w:pPr>
      <w:r>
        <w:rPr>
          <w:rFonts w:hint="eastAsia" w:ascii="仿宋" w:hAnsi="仿宋" w:eastAsia="仿宋"/>
          <w:bCs/>
        </w:rPr>
        <w:t>上述情况导致，不论是绩效目标申报还是绩效目标自评，均未充分体现该专项资金及实施项目的核心成效情况，也不能体现成效与资金项目的关联情况。</w:t>
      </w:r>
    </w:p>
    <w:p>
      <w:pPr>
        <w:pStyle w:val="12"/>
        <w:adjustRightInd w:val="0"/>
        <w:snapToGrid w:val="0"/>
        <w:spacing w:before="0" w:beforeAutospacing="0" w:after="0" w:afterAutospacing="0" w:line="360" w:lineRule="auto"/>
        <w:ind w:firstLine="482" w:firstLineChars="200"/>
        <w:rPr>
          <w:rFonts w:ascii="仿宋" w:hAnsi="仿宋" w:eastAsia="仿宋"/>
          <w:b/>
        </w:rPr>
      </w:pPr>
      <w:r>
        <w:rPr>
          <w:rFonts w:hint="eastAsia" w:ascii="仿宋" w:hAnsi="仿宋" w:eastAsia="仿宋"/>
          <w:b/>
        </w:rPr>
        <w:t>建议：</w:t>
      </w:r>
    </w:p>
    <w:p>
      <w:pPr>
        <w:adjustRightInd w:val="0"/>
        <w:snapToGrid w:val="0"/>
        <w:spacing w:line="360" w:lineRule="auto"/>
        <w:ind w:firstLine="480" w:firstLineChars="200"/>
        <w:rPr>
          <w:rFonts w:ascii="仿宋" w:hAnsi="仿宋" w:eastAsia="仿宋"/>
          <w:bCs/>
          <w:sz w:val="24"/>
        </w:rPr>
      </w:pPr>
      <w:r>
        <w:rPr>
          <w:rFonts w:hint="eastAsia" w:ascii="仿宋" w:hAnsi="仿宋" w:eastAsia="仿宋"/>
          <w:bCs/>
          <w:sz w:val="24"/>
        </w:rPr>
        <w:t>高度重视资金项目绩效，重视绩效目标设置和自评工作，加强部门和项目申报单位对预算绩效管理政策的培训和指导，逐步强化绩效目标设置的规范合理性，逐步加强项目绩效目标审核把关工作。同时还应逐步强化绩效目标自评工作的规范性。</w:t>
      </w:r>
    </w:p>
    <w:p>
      <w:pPr>
        <w:pStyle w:val="12"/>
        <w:adjustRightInd w:val="0"/>
        <w:snapToGrid w:val="0"/>
        <w:spacing w:before="0" w:beforeAutospacing="0" w:after="0" w:afterAutospacing="0" w:line="360" w:lineRule="auto"/>
        <w:ind w:firstLine="482" w:firstLineChars="200"/>
        <w:rPr>
          <w:rFonts w:ascii="黑体" w:hAnsi="黑体" w:eastAsia="黑体"/>
          <w:b/>
        </w:rPr>
      </w:pPr>
    </w:p>
    <w:p>
      <w:pPr>
        <w:widowControl/>
        <w:jc w:val="left"/>
        <w:rPr>
          <w:rFonts w:ascii="黑体" w:hAnsi="黑体" w:eastAsia="黑体"/>
          <w:b/>
          <w:sz w:val="24"/>
        </w:rPr>
      </w:pPr>
    </w:p>
    <w:p>
      <w:pPr>
        <w:widowControl/>
        <w:jc w:val="left"/>
        <w:rPr>
          <w:rFonts w:ascii="黑体" w:hAnsi="黑体" w:eastAsia="黑体"/>
          <w:b/>
          <w:sz w:val="24"/>
        </w:rPr>
      </w:pPr>
      <w:r>
        <w:rPr>
          <w:rFonts w:ascii="黑体" w:hAnsi="黑体" w:eastAsia="黑体"/>
          <w:b/>
          <w:sz w:val="36"/>
          <w:szCs w:val="36"/>
        </w:rPr>
        <w:br w:type="page"/>
      </w:r>
    </w:p>
    <w:p>
      <w:pPr>
        <w:pStyle w:val="12"/>
        <w:adjustRightInd w:val="0"/>
        <w:snapToGrid w:val="0"/>
        <w:spacing w:before="0" w:beforeAutospacing="0" w:after="0" w:afterAutospacing="0" w:line="360" w:lineRule="auto"/>
        <w:jc w:val="center"/>
        <w:rPr>
          <w:rFonts w:ascii="黑体" w:hAnsi="黑体" w:eastAsia="黑体"/>
          <w:b/>
          <w:sz w:val="36"/>
          <w:szCs w:val="36"/>
        </w:rPr>
      </w:pPr>
      <w:r>
        <w:rPr>
          <w:rFonts w:ascii="黑体" w:hAnsi="黑体" w:eastAsia="黑体"/>
          <w:b/>
          <w:sz w:val="36"/>
          <w:szCs w:val="36"/>
        </w:rPr>
        <w:t>2019</w:t>
      </w:r>
      <w:r>
        <w:rPr>
          <w:rFonts w:hint="eastAsia" w:ascii="黑体" w:hAnsi="黑体" w:eastAsia="黑体"/>
          <w:b/>
          <w:sz w:val="36"/>
          <w:szCs w:val="36"/>
        </w:rPr>
        <w:t>年巴南区旅游发展专项资金</w:t>
      </w:r>
    </w:p>
    <w:p>
      <w:pPr>
        <w:pStyle w:val="12"/>
        <w:adjustRightInd w:val="0"/>
        <w:snapToGrid w:val="0"/>
        <w:spacing w:before="0" w:beforeAutospacing="0" w:after="0" w:afterAutospacing="0" w:line="360" w:lineRule="auto"/>
        <w:jc w:val="center"/>
        <w:rPr>
          <w:rFonts w:ascii="黑体" w:hAnsi="黑体" w:eastAsia="黑体"/>
          <w:b/>
          <w:sz w:val="36"/>
          <w:szCs w:val="36"/>
        </w:rPr>
      </w:pPr>
      <w:r>
        <w:rPr>
          <w:rFonts w:hint="eastAsia" w:ascii="黑体" w:hAnsi="黑体" w:eastAsia="黑体"/>
          <w:b/>
          <w:sz w:val="36"/>
          <w:szCs w:val="36"/>
        </w:rPr>
        <w:t>绩效评价报告正文</w:t>
      </w:r>
    </w:p>
    <w:p>
      <w:pPr>
        <w:pStyle w:val="12"/>
        <w:adjustRightInd w:val="0"/>
        <w:snapToGrid w:val="0"/>
        <w:spacing w:before="0" w:beforeAutospacing="0" w:after="0" w:afterAutospacing="0" w:line="360" w:lineRule="auto"/>
        <w:jc w:val="center"/>
        <w:rPr>
          <w:rFonts w:ascii="仿宋" w:hAnsi="仿宋" w:eastAsia="仿宋"/>
          <w:bCs/>
        </w:rPr>
      </w:pPr>
      <w:r>
        <w:rPr>
          <w:rFonts w:hint="eastAsia" w:ascii="仿宋" w:hAnsi="仿宋" w:eastAsia="仿宋"/>
          <w:bCs/>
        </w:rPr>
        <w:t>重瑞赢绩评</w:t>
      </w:r>
      <w:r>
        <w:rPr>
          <w:rFonts w:ascii="仿宋" w:hAnsi="仿宋" w:eastAsia="仿宋"/>
          <w:bCs/>
        </w:rPr>
        <w:t>[2020]0004-06</w:t>
      </w:r>
      <w:r>
        <w:rPr>
          <w:rFonts w:hint="eastAsia" w:ascii="仿宋" w:hAnsi="仿宋" w:eastAsia="仿宋"/>
          <w:bCs/>
        </w:rPr>
        <w:t>号</w:t>
      </w:r>
    </w:p>
    <w:p>
      <w:pPr>
        <w:pStyle w:val="12"/>
        <w:tabs>
          <w:tab w:val="center" w:pos="4153"/>
          <w:tab w:val="left" w:pos="6435"/>
        </w:tabs>
        <w:adjustRightInd w:val="0"/>
        <w:snapToGrid w:val="0"/>
        <w:spacing w:before="0" w:beforeAutospacing="0" w:after="0" w:afterAutospacing="0" w:line="360" w:lineRule="auto"/>
        <w:jc w:val="center"/>
        <w:rPr>
          <w:rFonts w:ascii="黑体" w:hAnsi="黑体" w:eastAsia="黑体"/>
          <w:b/>
        </w:rPr>
      </w:pPr>
    </w:p>
    <w:p>
      <w:pPr>
        <w:adjustRightInd w:val="0"/>
        <w:snapToGrid w:val="0"/>
        <w:spacing w:line="360" w:lineRule="auto"/>
        <w:ind w:firstLine="480" w:firstLineChars="200"/>
        <w:rPr>
          <w:rFonts w:ascii="仿宋" w:hAnsi="仿宋" w:eastAsia="仿宋" w:cs="宋体"/>
          <w:kern w:val="0"/>
          <w:sz w:val="24"/>
        </w:rPr>
      </w:pPr>
      <w:r>
        <w:rPr>
          <w:rFonts w:hint="eastAsia" w:ascii="仿宋" w:hAnsi="仿宋" w:eastAsia="仿宋" w:cs="宋体"/>
          <w:kern w:val="0"/>
          <w:sz w:val="24"/>
        </w:rPr>
        <w:t>为进一步加强扶贫项目资金绩效管理，提高财政扶贫资金使用效益，根据《重庆市财政局关于印发&lt;重庆市市级政策和项目预算绩效管理办法（试行）&gt;的通知》（渝财绩〔</w:t>
      </w:r>
      <w:r>
        <w:rPr>
          <w:rFonts w:ascii="仿宋" w:hAnsi="仿宋" w:eastAsia="仿宋" w:cs="宋体"/>
          <w:kern w:val="0"/>
          <w:sz w:val="24"/>
        </w:rPr>
        <w:t>2019</w:t>
      </w:r>
      <w:r>
        <w:rPr>
          <w:rFonts w:hint="eastAsia" w:ascii="仿宋" w:hAnsi="仿宋" w:eastAsia="仿宋" w:cs="宋体"/>
          <w:kern w:val="0"/>
          <w:sz w:val="24"/>
        </w:rPr>
        <w:t>〕</w:t>
      </w:r>
      <w:r>
        <w:rPr>
          <w:rFonts w:ascii="仿宋" w:hAnsi="仿宋" w:eastAsia="仿宋" w:cs="宋体"/>
          <w:kern w:val="0"/>
          <w:sz w:val="24"/>
        </w:rPr>
        <w:t>19</w:t>
      </w:r>
      <w:r>
        <w:rPr>
          <w:rFonts w:hint="eastAsia" w:ascii="仿宋" w:hAnsi="仿宋" w:eastAsia="仿宋" w:cs="宋体"/>
          <w:kern w:val="0"/>
          <w:sz w:val="24"/>
        </w:rPr>
        <w:t>号），巴南区财政局委托重庆瑞赢会计师事务所，对</w:t>
      </w:r>
      <w:r>
        <w:rPr>
          <w:rFonts w:ascii="仿宋" w:hAnsi="仿宋" w:eastAsia="仿宋" w:cs="宋体"/>
          <w:kern w:val="0"/>
          <w:sz w:val="24"/>
        </w:rPr>
        <w:t>2019</w:t>
      </w:r>
      <w:r>
        <w:rPr>
          <w:rFonts w:hint="eastAsia" w:ascii="仿宋" w:hAnsi="仿宋" w:eastAsia="仿宋" w:cs="宋体"/>
          <w:kern w:val="0"/>
          <w:sz w:val="24"/>
        </w:rPr>
        <w:t>年巴南区旅游发展专项资金进行了绩效评价。现将评价情况报告如下：</w:t>
      </w:r>
    </w:p>
    <w:p>
      <w:pPr>
        <w:adjustRightInd w:val="0"/>
        <w:snapToGrid w:val="0"/>
        <w:spacing w:line="360" w:lineRule="auto"/>
        <w:ind w:firstLine="482" w:firstLineChars="200"/>
        <w:rPr>
          <w:rFonts w:ascii="黑体" w:hAnsi="黑体" w:eastAsia="黑体" w:cs="宋体"/>
          <w:b/>
          <w:spacing w:val="-3"/>
          <w:kern w:val="0"/>
          <w:sz w:val="24"/>
        </w:rPr>
      </w:pPr>
      <w:r>
        <w:rPr>
          <w:rFonts w:hint="eastAsia" w:ascii="黑体" w:hAnsi="黑体" w:eastAsia="黑体"/>
          <w:b/>
          <w:sz w:val="24"/>
        </w:rPr>
        <w:t>一、项目基本情况</w:t>
      </w:r>
    </w:p>
    <w:p>
      <w:pPr>
        <w:adjustRightInd w:val="0"/>
        <w:snapToGrid w:val="0"/>
        <w:spacing w:line="360" w:lineRule="auto"/>
        <w:ind w:firstLine="482" w:firstLineChars="200"/>
        <w:rPr>
          <w:rFonts w:ascii="仿宋" w:hAnsi="仿宋" w:eastAsia="仿宋"/>
          <w:b/>
          <w:sz w:val="24"/>
        </w:rPr>
      </w:pPr>
      <w:r>
        <w:rPr>
          <w:rFonts w:hint="eastAsia" w:ascii="仿宋" w:hAnsi="仿宋" w:eastAsia="仿宋"/>
          <w:b/>
          <w:sz w:val="24"/>
        </w:rPr>
        <w:t>（一）项目背景、概况</w:t>
      </w:r>
    </w:p>
    <w:p>
      <w:pPr>
        <w:adjustRightInd w:val="0"/>
        <w:snapToGrid w:val="0"/>
        <w:spacing w:line="360" w:lineRule="auto"/>
        <w:ind w:firstLine="480" w:firstLineChars="200"/>
        <w:rPr>
          <w:rFonts w:ascii="仿宋" w:hAnsi="仿宋" w:eastAsia="仿宋" w:cs="宋体"/>
          <w:kern w:val="0"/>
          <w:sz w:val="24"/>
        </w:rPr>
      </w:pPr>
      <w:r>
        <w:rPr>
          <w:rFonts w:hint="eastAsia" w:ascii="仿宋" w:hAnsi="仿宋" w:eastAsia="仿宋" w:cs="宋体"/>
          <w:kern w:val="0"/>
          <w:sz w:val="24"/>
        </w:rPr>
        <w:t>近年来，我国旅游经济快速增长，产业格局日趋完善，市场规模品质同步提升，旅游业已成为国民经济的战略性支柱产业。但是，随着大众旅游时代到来，我国旅游有效供给不足、市场秩序不规范、体制机制不完善等问题日益凸显。发展全域旅游，将一定区域作为完整旅游目的地，以旅游业为优势产业，统一规划布局、优化公共服务、推进产业融合、加强综合管理、实施系统营销，有利于不断提升旅游业现代化、集约化、品质化、国际化水平，更好满足旅游消费需求。</w:t>
      </w:r>
    </w:p>
    <w:p>
      <w:pPr>
        <w:adjustRightInd w:val="0"/>
        <w:snapToGrid w:val="0"/>
        <w:spacing w:line="360" w:lineRule="auto"/>
        <w:rPr>
          <w:rFonts w:ascii="仿宋" w:hAnsi="仿宋" w:eastAsia="仿宋" w:cs="宋体"/>
          <w:kern w:val="0"/>
          <w:sz w:val="24"/>
        </w:rPr>
      </w:pPr>
      <w:r>
        <w:rPr>
          <w:rFonts w:hint="eastAsia" w:ascii="仿宋" w:hAnsi="仿宋" w:eastAsia="仿宋" w:cs="宋体"/>
          <w:kern w:val="0"/>
          <w:sz w:val="24"/>
        </w:rPr>
        <w:t>为指导各地促进全域旅游发展，国务院办公厅印发《关于促进全域旅游发展的指导意见》（国办发〔</w:t>
      </w:r>
      <w:r>
        <w:rPr>
          <w:rFonts w:ascii="仿宋" w:hAnsi="仿宋" w:eastAsia="仿宋" w:cs="宋体"/>
          <w:kern w:val="0"/>
          <w:sz w:val="24"/>
        </w:rPr>
        <w:t>2018</w:t>
      </w:r>
      <w:r>
        <w:rPr>
          <w:rFonts w:hint="eastAsia" w:ascii="仿宋" w:hAnsi="仿宋" w:eastAsia="仿宋" w:cs="宋体"/>
          <w:kern w:val="0"/>
          <w:sz w:val="24"/>
        </w:rPr>
        <w:t>〕</w:t>
      </w:r>
      <w:r>
        <w:rPr>
          <w:rFonts w:ascii="仿宋" w:hAnsi="仿宋" w:eastAsia="仿宋" w:cs="宋体"/>
          <w:kern w:val="0"/>
          <w:sz w:val="24"/>
        </w:rPr>
        <w:t>15</w:t>
      </w:r>
      <w:r>
        <w:rPr>
          <w:rFonts w:hint="eastAsia" w:ascii="仿宋" w:hAnsi="仿宋" w:eastAsia="仿宋" w:cs="宋体"/>
          <w:kern w:val="0"/>
          <w:sz w:val="24"/>
        </w:rPr>
        <w:t>号）</w:t>
      </w:r>
    </w:p>
    <w:p>
      <w:pPr>
        <w:adjustRightInd w:val="0"/>
        <w:snapToGrid w:val="0"/>
        <w:spacing w:line="360" w:lineRule="auto"/>
        <w:ind w:firstLine="480" w:firstLineChars="200"/>
        <w:rPr>
          <w:rFonts w:ascii="仿宋" w:hAnsi="仿宋" w:eastAsia="仿宋"/>
          <w:sz w:val="24"/>
        </w:rPr>
      </w:pPr>
      <w:r>
        <w:rPr>
          <w:rFonts w:hint="eastAsia" w:ascii="仿宋" w:hAnsi="仿宋" w:eastAsia="仿宋" w:cs="宋体"/>
          <w:kern w:val="0"/>
          <w:sz w:val="24"/>
        </w:rPr>
        <w:t>为加快重庆市全域旅游发展，重庆市市级层面印发了《关于加快全域旅游发展的意见》（渝委发</w:t>
      </w:r>
      <w:r>
        <w:rPr>
          <w:rFonts w:hint="eastAsia" w:ascii="仿宋" w:hAnsi="仿宋" w:eastAsia="仿宋"/>
          <w:sz w:val="24"/>
        </w:rPr>
        <w:t>〔</w:t>
      </w:r>
      <w:r>
        <w:rPr>
          <w:rFonts w:ascii="仿宋" w:hAnsi="仿宋" w:eastAsia="仿宋"/>
          <w:sz w:val="24"/>
        </w:rPr>
        <w:t>2017</w:t>
      </w:r>
      <w:r>
        <w:rPr>
          <w:rFonts w:hint="eastAsia" w:ascii="仿宋" w:hAnsi="仿宋" w:eastAsia="仿宋"/>
          <w:sz w:val="24"/>
        </w:rPr>
        <w:t>〕4</w:t>
      </w:r>
      <w:r>
        <w:rPr>
          <w:rFonts w:ascii="仿宋" w:hAnsi="仿宋" w:eastAsia="仿宋"/>
          <w:sz w:val="24"/>
        </w:rPr>
        <w:t>2</w:t>
      </w:r>
      <w:r>
        <w:rPr>
          <w:rFonts w:hint="eastAsia" w:ascii="仿宋" w:hAnsi="仿宋" w:eastAsia="仿宋"/>
          <w:sz w:val="24"/>
        </w:rPr>
        <w:t>号</w:t>
      </w:r>
      <w:r>
        <w:rPr>
          <w:rFonts w:hint="eastAsia" w:ascii="仿宋" w:hAnsi="仿宋" w:eastAsia="仿宋" w:cs="宋体"/>
          <w:kern w:val="0"/>
          <w:sz w:val="24"/>
        </w:rPr>
        <w:t>）、《关于印发〈重庆市加快全域旅游发展重点任务分工方案〉的通知》</w:t>
      </w:r>
      <w:r>
        <w:rPr>
          <w:rFonts w:hint="eastAsia" w:ascii="仿宋" w:hAnsi="仿宋" w:eastAsia="仿宋"/>
          <w:sz w:val="24"/>
        </w:rPr>
        <w:t>（渝委办〔</w:t>
      </w:r>
      <w:r>
        <w:rPr>
          <w:rFonts w:ascii="仿宋" w:hAnsi="仿宋" w:eastAsia="仿宋"/>
          <w:sz w:val="24"/>
        </w:rPr>
        <w:t>2018</w:t>
      </w:r>
      <w:r>
        <w:rPr>
          <w:rFonts w:hint="eastAsia" w:ascii="仿宋" w:hAnsi="仿宋" w:eastAsia="仿宋"/>
          <w:sz w:val="24"/>
        </w:rPr>
        <w:t>〕3</w:t>
      </w:r>
      <w:r>
        <w:rPr>
          <w:rFonts w:ascii="仿宋" w:hAnsi="仿宋" w:eastAsia="仿宋"/>
          <w:sz w:val="24"/>
        </w:rPr>
        <w:t>6</w:t>
      </w:r>
      <w:r>
        <w:rPr>
          <w:rFonts w:hint="eastAsia" w:ascii="仿宋" w:hAnsi="仿宋" w:eastAsia="仿宋"/>
          <w:sz w:val="24"/>
        </w:rPr>
        <w:t>号）、《贯彻落实国务院办公厅关于促进全域旅游发展指导意见重点任务分工的通知》（渝府办发〔</w:t>
      </w:r>
      <w:r>
        <w:rPr>
          <w:rFonts w:ascii="仿宋" w:hAnsi="仿宋" w:eastAsia="仿宋"/>
          <w:sz w:val="24"/>
        </w:rPr>
        <w:t>2018</w:t>
      </w:r>
      <w:r>
        <w:rPr>
          <w:rFonts w:hint="eastAsia" w:ascii="仿宋" w:hAnsi="仿宋" w:eastAsia="仿宋"/>
          <w:sz w:val="24"/>
        </w:rPr>
        <w:t>〕9</w:t>
      </w:r>
      <w:r>
        <w:rPr>
          <w:rFonts w:ascii="仿宋" w:hAnsi="仿宋" w:eastAsia="仿宋"/>
          <w:sz w:val="24"/>
        </w:rPr>
        <w:t>8</w:t>
      </w:r>
      <w:r>
        <w:rPr>
          <w:rFonts w:hint="eastAsia" w:ascii="仿宋" w:hAnsi="仿宋" w:eastAsia="仿宋"/>
          <w:sz w:val="24"/>
        </w:rPr>
        <w:t>号）等文件，巴南区为贯彻落实上述文件和全市旅游发展大会精神，努力把巴南建设成为市级全域旅游发展示范区，制定了《关于加快全域旅游发展的实施意见》（巴南委发〔</w:t>
      </w:r>
      <w:r>
        <w:rPr>
          <w:rFonts w:ascii="仿宋" w:hAnsi="仿宋" w:eastAsia="仿宋"/>
          <w:sz w:val="24"/>
        </w:rPr>
        <w:t>2018</w:t>
      </w:r>
      <w:r>
        <w:rPr>
          <w:rFonts w:hint="eastAsia" w:ascii="仿宋" w:hAnsi="仿宋" w:eastAsia="仿宋"/>
          <w:sz w:val="24"/>
        </w:rPr>
        <w:t>〕</w:t>
      </w:r>
      <w:r>
        <w:rPr>
          <w:rFonts w:ascii="仿宋" w:hAnsi="仿宋" w:eastAsia="仿宋"/>
          <w:sz w:val="24"/>
        </w:rPr>
        <w:t>35</w:t>
      </w:r>
      <w:r>
        <w:rPr>
          <w:rFonts w:hint="eastAsia" w:ascii="仿宋" w:hAnsi="仿宋" w:eastAsia="仿宋"/>
          <w:sz w:val="24"/>
        </w:rPr>
        <w:t>号）。</w:t>
      </w:r>
    </w:p>
    <w:p>
      <w:pPr>
        <w:adjustRightInd w:val="0"/>
        <w:snapToGrid w:val="0"/>
        <w:spacing w:line="360" w:lineRule="auto"/>
        <w:ind w:firstLine="480" w:firstLineChars="200"/>
        <w:rPr>
          <w:rFonts w:ascii="仿宋" w:hAnsi="仿宋" w:eastAsia="仿宋" w:cs="宋体"/>
          <w:kern w:val="0"/>
          <w:sz w:val="24"/>
        </w:rPr>
      </w:pPr>
      <w:r>
        <w:rPr>
          <w:rFonts w:hint="eastAsia" w:ascii="仿宋" w:hAnsi="仿宋" w:eastAsia="仿宋" w:cs="宋体"/>
          <w:kern w:val="0"/>
          <w:sz w:val="24"/>
        </w:rPr>
        <w:t>巴南区文化和旅游发展委员会</w:t>
      </w:r>
      <w:r>
        <w:rPr>
          <w:rFonts w:hint="eastAsia" w:ascii="仿宋" w:hAnsi="仿宋" w:eastAsia="仿宋"/>
          <w:sz w:val="24"/>
        </w:rPr>
        <w:t>按照区委、区政府的工作部署及《2</w:t>
      </w:r>
      <w:r>
        <w:rPr>
          <w:rFonts w:ascii="仿宋" w:hAnsi="仿宋" w:eastAsia="仿宋"/>
          <w:sz w:val="24"/>
        </w:rPr>
        <w:t>019</w:t>
      </w:r>
      <w:r>
        <w:rPr>
          <w:rFonts w:hint="eastAsia" w:ascii="仿宋" w:hAnsi="仿宋" w:eastAsia="仿宋"/>
          <w:sz w:val="24"/>
        </w:rPr>
        <w:t>年文化旅游工作要点》，结合巴南区旅游创意策划、规划设计、品牌推广、市场拓展人才培训等工作的开展，提出了2</w:t>
      </w:r>
      <w:r>
        <w:rPr>
          <w:rFonts w:ascii="仿宋" w:hAnsi="仿宋" w:eastAsia="仿宋"/>
          <w:sz w:val="24"/>
        </w:rPr>
        <w:t>019</w:t>
      </w:r>
      <w:r>
        <w:rPr>
          <w:rFonts w:hint="eastAsia" w:ascii="仿宋" w:hAnsi="仿宋" w:eastAsia="仿宋"/>
          <w:sz w:val="24"/>
        </w:rPr>
        <w:t>年年初预算旅游发展专项资金1</w:t>
      </w:r>
      <w:r>
        <w:rPr>
          <w:rFonts w:ascii="仿宋" w:hAnsi="仿宋" w:eastAsia="仿宋"/>
          <w:sz w:val="24"/>
        </w:rPr>
        <w:t>500</w:t>
      </w:r>
      <w:r>
        <w:rPr>
          <w:rFonts w:hint="eastAsia" w:ascii="仿宋" w:hAnsi="仿宋" w:eastAsia="仿宋"/>
          <w:sz w:val="24"/>
        </w:rPr>
        <w:t>万元的安排计划，并经重庆市巴南区第十八届人民政府9</w:t>
      </w:r>
      <w:r>
        <w:rPr>
          <w:rFonts w:ascii="仿宋" w:hAnsi="仿宋" w:eastAsia="仿宋"/>
          <w:sz w:val="24"/>
        </w:rPr>
        <w:t>6</w:t>
      </w:r>
      <w:r>
        <w:rPr>
          <w:rFonts w:hint="eastAsia" w:ascii="仿宋" w:hAnsi="仿宋" w:eastAsia="仿宋"/>
          <w:sz w:val="24"/>
        </w:rPr>
        <w:t>次常务会议研究同意。</w:t>
      </w:r>
    </w:p>
    <w:p>
      <w:pPr>
        <w:adjustRightInd w:val="0"/>
        <w:snapToGrid w:val="0"/>
        <w:spacing w:line="360" w:lineRule="auto"/>
        <w:ind w:firstLine="482" w:firstLineChars="200"/>
        <w:rPr>
          <w:rFonts w:ascii="仿宋" w:hAnsi="仿宋" w:eastAsia="仿宋"/>
          <w:b/>
          <w:sz w:val="24"/>
        </w:rPr>
      </w:pPr>
      <w:r>
        <w:rPr>
          <w:rFonts w:hint="eastAsia" w:ascii="仿宋" w:hAnsi="仿宋" w:eastAsia="仿宋"/>
          <w:b/>
          <w:sz w:val="24"/>
        </w:rPr>
        <w:t>（二）项目内容、绩效目标</w:t>
      </w:r>
    </w:p>
    <w:p>
      <w:pPr>
        <w:adjustRightInd w:val="0"/>
        <w:snapToGrid w:val="0"/>
        <w:spacing w:line="360" w:lineRule="auto"/>
        <w:ind w:firstLine="480" w:firstLineChars="200"/>
        <w:rPr>
          <w:rFonts w:ascii="仿宋" w:hAnsi="仿宋" w:eastAsia="仿宋"/>
          <w:sz w:val="24"/>
        </w:rPr>
      </w:pPr>
      <w:bookmarkStart w:id="1" w:name="_Hlk45025690"/>
      <w:r>
        <w:rPr>
          <w:rFonts w:ascii="仿宋" w:hAnsi="仿宋" w:eastAsia="仿宋"/>
          <w:sz w:val="24"/>
        </w:rPr>
        <w:t>1、</w:t>
      </w:r>
      <w:r>
        <w:rPr>
          <w:rFonts w:hint="eastAsia" w:ascii="仿宋" w:hAnsi="仿宋" w:eastAsia="仿宋"/>
          <w:sz w:val="24"/>
        </w:rPr>
        <w:t>项目名称</w:t>
      </w:r>
      <w:r>
        <w:rPr>
          <w:rFonts w:ascii="仿宋" w:hAnsi="仿宋" w:eastAsia="仿宋"/>
          <w:sz w:val="24"/>
        </w:rPr>
        <w:t>：2019</w:t>
      </w:r>
      <w:r>
        <w:rPr>
          <w:rFonts w:hint="eastAsia" w:ascii="仿宋" w:hAnsi="仿宋" w:eastAsia="仿宋"/>
          <w:sz w:val="24"/>
        </w:rPr>
        <w:t>年巴南区旅游发展专项资金。</w:t>
      </w:r>
    </w:p>
    <w:p>
      <w:pPr>
        <w:adjustRightInd w:val="0"/>
        <w:snapToGrid w:val="0"/>
        <w:spacing w:line="360" w:lineRule="auto"/>
        <w:ind w:firstLine="480" w:firstLineChars="200"/>
        <w:rPr>
          <w:rFonts w:ascii="仿宋" w:hAnsi="仿宋" w:eastAsia="仿宋" w:cs="宋体"/>
          <w:kern w:val="0"/>
          <w:sz w:val="24"/>
        </w:rPr>
      </w:pPr>
      <w:r>
        <w:rPr>
          <w:rFonts w:ascii="仿宋" w:hAnsi="仿宋" w:eastAsia="仿宋" w:cs="宋体"/>
          <w:kern w:val="0"/>
          <w:sz w:val="24"/>
        </w:rPr>
        <w:t>2</w:t>
      </w:r>
      <w:r>
        <w:rPr>
          <w:rFonts w:hint="eastAsia" w:ascii="仿宋" w:hAnsi="仿宋" w:eastAsia="仿宋" w:cs="宋体"/>
          <w:kern w:val="0"/>
          <w:sz w:val="24"/>
        </w:rPr>
        <w:t>、责任单位：巴南区文化和旅游发展委员会（以下简称区文旅委）。</w:t>
      </w:r>
    </w:p>
    <w:p>
      <w:pPr>
        <w:adjustRightInd w:val="0"/>
        <w:snapToGrid w:val="0"/>
        <w:spacing w:line="360" w:lineRule="auto"/>
        <w:ind w:firstLine="480" w:firstLineChars="200"/>
        <w:rPr>
          <w:rFonts w:ascii="仿宋" w:hAnsi="仿宋" w:eastAsia="仿宋" w:cs="宋体"/>
          <w:b/>
          <w:spacing w:val="-3"/>
          <w:kern w:val="0"/>
          <w:sz w:val="24"/>
        </w:rPr>
      </w:pPr>
      <w:r>
        <w:rPr>
          <w:rFonts w:ascii="仿宋" w:hAnsi="仿宋" w:eastAsia="仿宋"/>
          <w:sz w:val="24"/>
        </w:rPr>
        <w:t>3</w:t>
      </w:r>
      <w:r>
        <w:rPr>
          <w:rFonts w:hint="eastAsia" w:ascii="仿宋" w:hAnsi="仿宋" w:eastAsia="仿宋"/>
          <w:sz w:val="24"/>
        </w:rPr>
        <w:t>、资金预算：总额</w:t>
      </w:r>
      <w:r>
        <w:rPr>
          <w:rFonts w:ascii="仿宋" w:hAnsi="仿宋" w:eastAsia="仿宋"/>
          <w:sz w:val="24"/>
        </w:rPr>
        <w:t>1500</w:t>
      </w:r>
      <w:r>
        <w:rPr>
          <w:rFonts w:hint="eastAsia" w:ascii="仿宋" w:hAnsi="仿宋" w:eastAsia="仿宋"/>
          <w:sz w:val="24"/>
        </w:rPr>
        <w:t>万元，纳入区文旅委2</w:t>
      </w:r>
      <w:r>
        <w:rPr>
          <w:rFonts w:ascii="仿宋" w:hAnsi="仿宋" w:eastAsia="仿宋"/>
          <w:sz w:val="24"/>
        </w:rPr>
        <w:t>019</w:t>
      </w:r>
      <w:r>
        <w:rPr>
          <w:rFonts w:hint="eastAsia" w:ascii="仿宋" w:hAnsi="仿宋" w:eastAsia="仿宋"/>
          <w:sz w:val="24"/>
        </w:rPr>
        <w:t>年度部门预算。</w:t>
      </w:r>
    </w:p>
    <w:p>
      <w:pPr>
        <w:adjustRightInd w:val="0"/>
        <w:snapToGrid w:val="0"/>
        <w:spacing w:line="360" w:lineRule="auto"/>
        <w:ind w:firstLine="480" w:firstLineChars="200"/>
        <w:rPr>
          <w:rFonts w:ascii="仿宋" w:hAnsi="仿宋" w:eastAsia="仿宋" w:cs="宋体"/>
          <w:kern w:val="0"/>
          <w:sz w:val="24"/>
        </w:rPr>
      </w:pPr>
      <w:r>
        <w:rPr>
          <w:rFonts w:ascii="仿宋" w:hAnsi="仿宋" w:eastAsia="仿宋" w:cs="宋体"/>
          <w:kern w:val="0"/>
          <w:sz w:val="24"/>
        </w:rPr>
        <w:t>4</w:t>
      </w:r>
      <w:r>
        <w:rPr>
          <w:rFonts w:hint="eastAsia" w:ascii="仿宋" w:hAnsi="仿宋" w:eastAsia="仿宋" w:cs="宋体"/>
          <w:kern w:val="0"/>
          <w:sz w:val="24"/>
        </w:rPr>
        <w:t>、资金用途：支持巴南区全域旅游发展创意策划、规划设计、公共服务、品牌推广、市场拓展、人才培训以及乡村旅游扶贫奖补。</w:t>
      </w:r>
    </w:p>
    <w:p>
      <w:pPr>
        <w:adjustRightInd w:val="0"/>
        <w:snapToGrid w:val="0"/>
        <w:spacing w:line="360" w:lineRule="auto"/>
        <w:ind w:firstLine="480" w:firstLineChars="200"/>
        <w:rPr>
          <w:rFonts w:ascii="仿宋" w:hAnsi="仿宋" w:eastAsia="仿宋" w:cs="宋体"/>
          <w:kern w:val="0"/>
          <w:sz w:val="24"/>
        </w:rPr>
      </w:pPr>
      <w:r>
        <w:rPr>
          <w:rFonts w:hint="eastAsia" w:ascii="仿宋" w:hAnsi="仿宋" w:eastAsia="仿宋" w:cs="宋体"/>
          <w:kern w:val="0"/>
          <w:sz w:val="24"/>
        </w:rPr>
        <w:t>5、绩效目标：2019年全区预计接待旅游人次3500万人次，预计实现全区旅游综合经济收入115亿元。</w:t>
      </w:r>
      <w:r>
        <w:rPr>
          <w:rFonts w:ascii="仿宋" w:hAnsi="仿宋" w:eastAsia="仿宋" w:cs="宋体"/>
          <w:kern w:val="0"/>
          <w:sz w:val="24"/>
        </w:rPr>
        <w:t xml:space="preserve"> </w:t>
      </w:r>
    </w:p>
    <w:bookmarkEnd w:id="1"/>
    <w:p>
      <w:pPr>
        <w:pStyle w:val="12"/>
        <w:adjustRightInd w:val="0"/>
        <w:snapToGrid w:val="0"/>
        <w:spacing w:before="0" w:beforeAutospacing="0" w:after="0" w:afterAutospacing="0" w:line="360" w:lineRule="auto"/>
        <w:ind w:firstLine="482" w:firstLineChars="200"/>
        <w:jc w:val="both"/>
        <w:rPr>
          <w:rFonts w:ascii="黑体" w:hAnsi="黑体" w:eastAsia="黑体"/>
          <w:b/>
        </w:rPr>
      </w:pPr>
      <w:r>
        <w:rPr>
          <w:rFonts w:hint="eastAsia" w:ascii="黑体" w:hAnsi="黑体" w:eastAsia="黑体"/>
          <w:b/>
        </w:rPr>
        <w:t>二、绩效评价工作情况</w:t>
      </w:r>
    </w:p>
    <w:p>
      <w:pPr>
        <w:pStyle w:val="12"/>
        <w:adjustRightInd w:val="0"/>
        <w:snapToGrid w:val="0"/>
        <w:spacing w:before="0" w:beforeAutospacing="0" w:after="0" w:afterAutospacing="0" w:line="360" w:lineRule="auto"/>
        <w:ind w:firstLine="482" w:firstLineChars="200"/>
        <w:jc w:val="both"/>
        <w:rPr>
          <w:rFonts w:ascii="仿宋" w:hAnsi="仿宋" w:eastAsia="仿宋"/>
          <w:b/>
        </w:rPr>
      </w:pPr>
      <w:r>
        <w:rPr>
          <w:rFonts w:hint="eastAsia" w:ascii="仿宋" w:hAnsi="仿宋" w:eastAsia="仿宋"/>
          <w:b/>
        </w:rPr>
        <w:t>（一）绩效评价目的</w:t>
      </w:r>
    </w:p>
    <w:p>
      <w:pPr>
        <w:pStyle w:val="12"/>
        <w:adjustRightInd w:val="0"/>
        <w:snapToGrid w:val="0"/>
        <w:spacing w:before="0" w:beforeAutospacing="0" w:after="0" w:afterAutospacing="0" w:line="360" w:lineRule="auto"/>
        <w:ind w:firstLine="480" w:firstLineChars="200"/>
        <w:jc w:val="both"/>
        <w:rPr>
          <w:rFonts w:ascii="仿宋" w:hAnsi="仿宋" w:eastAsia="仿宋"/>
          <w:b/>
        </w:rPr>
      </w:pPr>
      <w:r>
        <w:rPr>
          <w:rFonts w:hint="eastAsia" w:ascii="仿宋" w:hAnsi="仿宋" w:eastAsia="仿宋"/>
        </w:rPr>
        <w:t>开展此次绩效评价的目的在于：通过绩效评价，全面了解项目实施情况、项目成效等情况，总结经验查找问题不足，为进一步完善管理制度、改进管理措施、提高财政资金使用效益提供借鉴和参考。</w:t>
      </w:r>
    </w:p>
    <w:p>
      <w:pPr>
        <w:pStyle w:val="12"/>
        <w:tabs>
          <w:tab w:val="left" w:pos="4965"/>
        </w:tabs>
        <w:adjustRightInd w:val="0"/>
        <w:snapToGrid w:val="0"/>
        <w:spacing w:before="0" w:beforeAutospacing="0" w:after="0" w:afterAutospacing="0" w:line="360" w:lineRule="auto"/>
        <w:ind w:firstLine="482" w:firstLineChars="200"/>
        <w:jc w:val="both"/>
        <w:rPr>
          <w:rFonts w:ascii="仿宋" w:hAnsi="仿宋" w:eastAsia="仿宋"/>
          <w:b/>
        </w:rPr>
      </w:pPr>
      <w:r>
        <w:rPr>
          <w:rFonts w:hint="eastAsia" w:ascii="仿宋" w:hAnsi="仿宋" w:eastAsia="仿宋"/>
          <w:b/>
        </w:rPr>
        <w:t>（二）绩效评价主要依据</w:t>
      </w:r>
    </w:p>
    <w:p>
      <w:pPr>
        <w:pStyle w:val="12"/>
        <w:tabs>
          <w:tab w:val="left" w:pos="4965"/>
        </w:tabs>
        <w:adjustRightInd w:val="0"/>
        <w:snapToGrid w:val="0"/>
        <w:spacing w:before="0" w:beforeAutospacing="0" w:after="0" w:afterAutospacing="0" w:line="360" w:lineRule="auto"/>
        <w:ind w:firstLine="480" w:firstLineChars="200"/>
        <w:jc w:val="both"/>
        <w:rPr>
          <w:rFonts w:ascii="仿宋" w:hAnsi="仿宋" w:eastAsia="仿宋"/>
        </w:rPr>
      </w:pPr>
      <w:r>
        <w:rPr>
          <w:rFonts w:hint="eastAsia" w:ascii="仿宋" w:hAnsi="仿宋" w:eastAsia="仿宋"/>
        </w:rPr>
        <w:t>1、《关于全面实施预算绩效管理的实施意见》（渝委发〔</w:t>
      </w:r>
      <w:r>
        <w:rPr>
          <w:rFonts w:ascii="仿宋" w:hAnsi="仿宋" w:eastAsia="仿宋"/>
        </w:rPr>
        <w:t>2019</w:t>
      </w:r>
      <w:r>
        <w:rPr>
          <w:rFonts w:hint="eastAsia" w:ascii="仿宋" w:hAnsi="仿宋" w:eastAsia="仿宋"/>
        </w:rPr>
        <w:t>〕</w:t>
      </w:r>
      <w:r>
        <w:rPr>
          <w:rFonts w:ascii="仿宋" w:hAnsi="仿宋" w:eastAsia="仿宋"/>
        </w:rPr>
        <w:t>12</w:t>
      </w:r>
      <w:r>
        <w:rPr>
          <w:rFonts w:hint="eastAsia" w:ascii="仿宋" w:hAnsi="仿宋" w:eastAsia="仿宋"/>
        </w:rPr>
        <w:t>号）；</w:t>
      </w:r>
    </w:p>
    <w:p>
      <w:pPr>
        <w:pStyle w:val="12"/>
        <w:tabs>
          <w:tab w:val="left" w:pos="4965"/>
        </w:tabs>
        <w:adjustRightInd w:val="0"/>
        <w:snapToGrid w:val="0"/>
        <w:spacing w:before="0" w:beforeAutospacing="0" w:after="0" w:afterAutospacing="0" w:line="360" w:lineRule="auto"/>
        <w:ind w:firstLine="480" w:firstLineChars="200"/>
        <w:jc w:val="both"/>
        <w:rPr>
          <w:rFonts w:ascii="仿宋" w:hAnsi="仿宋" w:eastAsia="仿宋"/>
        </w:rPr>
      </w:pPr>
      <w:r>
        <w:rPr>
          <w:rFonts w:hint="eastAsia" w:ascii="仿宋" w:hAnsi="仿宋" w:eastAsia="仿宋"/>
        </w:rPr>
        <w:t>2、《重庆市市级政策和项目预算绩效管理办法（试行）》（渝财绩〔</w:t>
      </w:r>
      <w:r>
        <w:rPr>
          <w:rFonts w:ascii="仿宋" w:hAnsi="仿宋" w:eastAsia="仿宋"/>
        </w:rPr>
        <w:t>2019</w:t>
      </w:r>
      <w:r>
        <w:rPr>
          <w:rFonts w:hint="eastAsia" w:ascii="仿宋" w:hAnsi="仿宋" w:eastAsia="仿宋"/>
        </w:rPr>
        <w:t>〕</w:t>
      </w:r>
      <w:r>
        <w:rPr>
          <w:rFonts w:ascii="仿宋" w:hAnsi="仿宋" w:eastAsia="仿宋"/>
        </w:rPr>
        <w:t>19</w:t>
      </w:r>
      <w:r>
        <w:rPr>
          <w:rFonts w:hint="eastAsia" w:ascii="仿宋" w:hAnsi="仿宋" w:eastAsia="仿宋"/>
        </w:rPr>
        <w:t>号）；</w:t>
      </w:r>
    </w:p>
    <w:p>
      <w:pPr>
        <w:adjustRightInd w:val="0"/>
        <w:snapToGrid w:val="0"/>
        <w:spacing w:line="360" w:lineRule="auto"/>
        <w:ind w:firstLine="480" w:firstLineChars="200"/>
        <w:rPr>
          <w:rFonts w:ascii="仿宋" w:hAnsi="仿宋" w:eastAsia="仿宋"/>
          <w:sz w:val="24"/>
        </w:rPr>
      </w:pPr>
      <w:r>
        <w:rPr>
          <w:rFonts w:hint="eastAsia" w:ascii="仿宋" w:hAnsi="仿宋" w:eastAsia="仿宋" w:cs="宋体"/>
          <w:kern w:val="0"/>
          <w:sz w:val="24"/>
        </w:rPr>
        <w:t>3、</w:t>
      </w:r>
      <w:r>
        <w:rPr>
          <w:rFonts w:hint="eastAsia" w:ascii="仿宋" w:hAnsi="仿宋" w:eastAsia="仿宋"/>
          <w:sz w:val="24"/>
        </w:rPr>
        <w:t>中共重庆市巴南区委重庆市巴南区人民政府印发《关于加快全域旅游发展的实施意见》的通知（巴南委发〔</w:t>
      </w:r>
      <w:r>
        <w:rPr>
          <w:rFonts w:ascii="仿宋" w:hAnsi="仿宋" w:eastAsia="仿宋"/>
          <w:sz w:val="24"/>
        </w:rPr>
        <w:t>2018</w:t>
      </w:r>
      <w:r>
        <w:rPr>
          <w:rFonts w:hint="eastAsia" w:ascii="仿宋" w:hAnsi="仿宋" w:eastAsia="仿宋"/>
          <w:sz w:val="24"/>
        </w:rPr>
        <w:t>〕</w:t>
      </w:r>
      <w:r>
        <w:rPr>
          <w:rFonts w:ascii="仿宋" w:hAnsi="仿宋" w:eastAsia="仿宋"/>
          <w:sz w:val="24"/>
        </w:rPr>
        <w:t>35</w:t>
      </w:r>
      <w:r>
        <w:rPr>
          <w:rFonts w:hint="eastAsia" w:ascii="仿宋" w:hAnsi="仿宋" w:eastAsia="仿宋"/>
          <w:sz w:val="24"/>
        </w:rPr>
        <w:t>号）；</w:t>
      </w:r>
    </w:p>
    <w:p>
      <w:pPr>
        <w:adjustRightInd w:val="0"/>
        <w:snapToGrid w:val="0"/>
        <w:spacing w:line="360" w:lineRule="auto"/>
        <w:ind w:firstLine="480" w:firstLineChars="200"/>
        <w:rPr>
          <w:rFonts w:ascii="仿宋" w:hAnsi="仿宋" w:eastAsia="仿宋"/>
          <w:sz w:val="24"/>
        </w:rPr>
      </w:pPr>
      <w:r>
        <w:rPr>
          <w:rFonts w:ascii="仿宋" w:hAnsi="仿宋" w:eastAsia="仿宋"/>
          <w:sz w:val="24"/>
        </w:rPr>
        <w:t>4</w:t>
      </w:r>
      <w:r>
        <w:rPr>
          <w:rFonts w:hint="eastAsia" w:ascii="仿宋" w:hAnsi="仿宋" w:eastAsia="仿宋"/>
          <w:sz w:val="24"/>
        </w:rPr>
        <w:t>、《重庆市旅游发展专项资金管理办法》的通知（渝财规〔</w:t>
      </w:r>
      <w:r>
        <w:rPr>
          <w:rFonts w:ascii="仿宋" w:hAnsi="仿宋" w:eastAsia="仿宋"/>
          <w:sz w:val="24"/>
        </w:rPr>
        <w:t>2018</w:t>
      </w:r>
      <w:r>
        <w:rPr>
          <w:rFonts w:hint="eastAsia" w:ascii="仿宋" w:hAnsi="仿宋" w:eastAsia="仿宋"/>
          <w:sz w:val="24"/>
        </w:rPr>
        <w:t>〕</w:t>
      </w:r>
      <w:r>
        <w:rPr>
          <w:rFonts w:ascii="仿宋" w:hAnsi="仿宋" w:eastAsia="仿宋"/>
          <w:sz w:val="24"/>
        </w:rPr>
        <w:t>3</w:t>
      </w:r>
      <w:r>
        <w:rPr>
          <w:rFonts w:hint="eastAsia" w:ascii="仿宋" w:hAnsi="仿宋" w:eastAsia="仿宋"/>
          <w:sz w:val="24"/>
        </w:rPr>
        <w:t>号）；</w:t>
      </w:r>
    </w:p>
    <w:p>
      <w:pPr>
        <w:adjustRightInd w:val="0"/>
        <w:snapToGrid w:val="0"/>
        <w:spacing w:line="360" w:lineRule="auto"/>
        <w:ind w:firstLine="480" w:firstLineChars="200"/>
        <w:rPr>
          <w:rFonts w:ascii="仿宋" w:hAnsi="仿宋" w:eastAsia="仿宋"/>
          <w:sz w:val="24"/>
        </w:rPr>
      </w:pPr>
      <w:r>
        <w:rPr>
          <w:rFonts w:ascii="仿宋" w:hAnsi="仿宋" w:eastAsia="仿宋" w:cs="宋体"/>
          <w:kern w:val="0"/>
          <w:sz w:val="24"/>
        </w:rPr>
        <w:t>5</w:t>
      </w:r>
      <w:r>
        <w:rPr>
          <w:rFonts w:hint="eastAsia" w:ascii="仿宋" w:hAnsi="仿宋" w:eastAsia="仿宋" w:cs="宋体"/>
          <w:kern w:val="0"/>
          <w:sz w:val="24"/>
        </w:rPr>
        <w:t>、</w:t>
      </w:r>
      <w:r>
        <w:rPr>
          <w:rFonts w:hint="eastAsia" w:ascii="仿宋" w:hAnsi="仿宋" w:eastAsia="仿宋"/>
          <w:sz w:val="24"/>
        </w:rPr>
        <w:t>《关于审定2</w:t>
      </w:r>
      <w:r>
        <w:rPr>
          <w:rFonts w:ascii="仿宋" w:hAnsi="仿宋" w:eastAsia="仿宋"/>
          <w:sz w:val="24"/>
        </w:rPr>
        <w:t>019</w:t>
      </w:r>
      <w:r>
        <w:rPr>
          <w:rFonts w:hint="eastAsia" w:ascii="仿宋" w:hAnsi="仿宋" w:eastAsia="仿宋"/>
          <w:sz w:val="24"/>
        </w:rPr>
        <w:t>年旅游发展专项资金安排计划的请示》（巴南文旅委文〔</w:t>
      </w:r>
      <w:r>
        <w:rPr>
          <w:rFonts w:ascii="仿宋" w:hAnsi="仿宋" w:eastAsia="仿宋"/>
          <w:sz w:val="24"/>
        </w:rPr>
        <w:t>2019</w:t>
      </w:r>
      <w:r>
        <w:rPr>
          <w:rFonts w:hint="eastAsia" w:ascii="仿宋" w:hAnsi="仿宋" w:eastAsia="仿宋"/>
          <w:sz w:val="24"/>
        </w:rPr>
        <w:t>〕</w:t>
      </w:r>
      <w:r>
        <w:rPr>
          <w:rFonts w:ascii="仿宋" w:hAnsi="仿宋" w:eastAsia="仿宋"/>
          <w:sz w:val="24"/>
        </w:rPr>
        <w:t>36</w:t>
      </w:r>
      <w:r>
        <w:rPr>
          <w:rFonts w:hint="eastAsia" w:ascii="仿宋" w:hAnsi="仿宋" w:eastAsia="仿宋"/>
          <w:sz w:val="24"/>
        </w:rPr>
        <w:t>号）；</w:t>
      </w:r>
    </w:p>
    <w:p>
      <w:pPr>
        <w:adjustRightInd w:val="0"/>
        <w:snapToGrid w:val="0"/>
        <w:spacing w:line="360" w:lineRule="auto"/>
        <w:ind w:firstLine="480" w:firstLineChars="200"/>
        <w:rPr>
          <w:rFonts w:ascii="仿宋" w:hAnsi="仿宋" w:eastAsia="仿宋"/>
          <w:sz w:val="24"/>
        </w:rPr>
      </w:pPr>
      <w:r>
        <w:rPr>
          <w:rFonts w:ascii="仿宋" w:hAnsi="仿宋" w:eastAsia="仿宋"/>
          <w:sz w:val="24"/>
        </w:rPr>
        <w:t>6</w:t>
      </w:r>
      <w:r>
        <w:rPr>
          <w:rFonts w:hint="eastAsia" w:ascii="仿宋" w:hAnsi="仿宋" w:eastAsia="仿宋"/>
          <w:sz w:val="24"/>
        </w:rPr>
        <w:t>、《关于编制全域旅游整合发展和运营策划所需经费的请示》（巴南文旅委文〔</w:t>
      </w:r>
      <w:r>
        <w:rPr>
          <w:rFonts w:ascii="仿宋" w:hAnsi="仿宋" w:eastAsia="仿宋"/>
          <w:sz w:val="24"/>
        </w:rPr>
        <w:t>2019</w:t>
      </w:r>
      <w:r>
        <w:rPr>
          <w:rFonts w:hint="eastAsia" w:ascii="仿宋" w:hAnsi="仿宋" w:eastAsia="仿宋"/>
          <w:sz w:val="24"/>
        </w:rPr>
        <w:t>〕</w:t>
      </w:r>
      <w:r>
        <w:rPr>
          <w:rFonts w:ascii="仿宋" w:hAnsi="仿宋" w:eastAsia="仿宋"/>
          <w:sz w:val="24"/>
        </w:rPr>
        <w:t>76</w:t>
      </w:r>
      <w:r>
        <w:rPr>
          <w:rFonts w:hint="eastAsia" w:ascii="仿宋" w:hAnsi="仿宋" w:eastAsia="仿宋"/>
          <w:sz w:val="24"/>
        </w:rPr>
        <w:t>号）；</w:t>
      </w:r>
    </w:p>
    <w:p>
      <w:pPr>
        <w:adjustRightInd w:val="0"/>
        <w:snapToGrid w:val="0"/>
        <w:spacing w:line="360" w:lineRule="auto"/>
        <w:ind w:firstLine="480" w:firstLineChars="200"/>
        <w:rPr>
          <w:rFonts w:ascii="仿宋" w:hAnsi="仿宋" w:eastAsia="仿宋"/>
          <w:sz w:val="24"/>
        </w:rPr>
      </w:pPr>
      <w:r>
        <w:rPr>
          <w:rFonts w:ascii="仿宋" w:hAnsi="仿宋" w:eastAsia="仿宋"/>
          <w:sz w:val="24"/>
        </w:rPr>
        <w:t>7</w:t>
      </w:r>
      <w:r>
        <w:rPr>
          <w:rFonts w:hint="eastAsia" w:ascii="仿宋" w:hAnsi="仿宋" w:eastAsia="仿宋"/>
          <w:sz w:val="24"/>
        </w:rPr>
        <w:t>、《关于调项补助南温泉景区品质提升专项经费的请示》（巴南文旅委文〔</w:t>
      </w:r>
      <w:r>
        <w:rPr>
          <w:rFonts w:ascii="仿宋" w:hAnsi="仿宋" w:eastAsia="仿宋"/>
          <w:sz w:val="24"/>
        </w:rPr>
        <w:t>2019</w:t>
      </w:r>
      <w:r>
        <w:rPr>
          <w:rFonts w:hint="eastAsia" w:ascii="仿宋" w:hAnsi="仿宋" w:eastAsia="仿宋"/>
          <w:sz w:val="24"/>
        </w:rPr>
        <w:t>〕</w:t>
      </w:r>
      <w:r>
        <w:rPr>
          <w:rFonts w:ascii="仿宋" w:hAnsi="仿宋" w:eastAsia="仿宋"/>
          <w:sz w:val="24"/>
        </w:rPr>
        <w:t>84</w:t>
      </w:r>
      <w:r>
        <w:rPr>
          <w:rFonts w:hint="eastAsia" w:ascii="仿宋" w:hAnsi="仿宋" w:eastAsia="仿宋"/>
          <w:sz w:val="24"/>
        </w:rPr>
        <w:t>号）；</w:t>
      </w:r>
    </w:p>
    <w:p>
      <w:pPr>
        <w:adjustRightInd w:val="0"/>
        <w:snapToGrid w:val="0"/>
        <w:spacing w:line="360" w:lineRule="auto"/>
        <w:ind w:firstLine="480" w:firstLineChars="200"/>
        <w:rPr>
          <w:rFonts w:ascii="仿宋" w:hAnsi="仿宋" w:eastAsia="仿宋"/>
          <w:sz w:val="24"/>
        </w:rPr>
      </w:pPr>
      <w:r>
        <w:rPr>
          <w:rFonts w:ascii="仿宋" w:hAnsi="仿宋" w:eastAsia="仿宋"/>
          <w:sz w:val="24"/>
        </w:rPr>
        <w:t>8</w:t>
      </w:r>
      <w:r>
        <w:rPr>
          <w:rFonts w:hint="eastAsia" w:ascii="仿宋" w:hAnsi="仿宋" w:eastAsia="仿宋"/>
          <w:sz w:val="24"/>
        </w:rPr>
        <w:t>、《关于印发巴南区旅游结构资金管理办法的通知》（巴南府办发〔</w:t>
      </w:r>
      <w:r>
        <w:rPr>
          <w:rFonts w:ascii="仿宋" w:hAnsi="仿宋" w:eastAsia="仿宋"/>
          <w:sz w:val="24"/>
        </w:rPr>
        <w:t>2013</w:t>
      </w:r>
      <w:r>
        <w:rPr>
          <w:rFonts w:hint="eastAsia" w:ascii="仿宋" w:hAnsi="仿宋" w:eastAsia="仿宋"/>
          <w:sz w:val="24"/>
        </w:rPr>
        <w:t>〕1</w:t>
      </w:r>
      <w:r>
        <w:rPr>
          <w:rFonts w:ascii="仿宋" w:hAnsi="仿宋" w:eastAsia="仿宋"/>
          <w:sz w:val="24"/>
        </w:rPr>
        <w:t>07</w:t>
      </w:r>
      <w:r>
        <w:rPr>
          <w:rFonts w:hint="eastAsia" w:ascii="仿宋" w:hAnsi="仿宋" w:eastAsia="仿宋"/>
          <w:sz w:val="24"/>
        </w:rPr>
        <w:t>号）；</w:t>
      </w:r>
    </w:p>
    <w:p>
      <w:pPr>
        <w:adjustRightInd w:val="0"/>
        <w:snapToGrid w:val="0"/>
        <w:spacing w:line="360" w:lineRule="auto"/>
        <w:ind w:firstLine="480" w:firstLineChars="200"/>
        <w:rPr>
          <w:rFonts w:ascii="仿宋" w:hAnsi="仿宋" w:eastAsia="仿宋"/>
          <w:b/>
          <w:sz w:val="24"/>
        </w:rPr>
      </w:pPr>
      <w:r>
        <w:rPr>
          <w:rFonts w:ascii="仿宋" w:hAnsi="仿宋" w:eastAsia="仿宋" w:cs="宋体"/>
          <w:kern w:val="0"/>
          <w:sz w:val="24"/>
        </w:rPr>
        <w:t>9</w:t>
      </w:r>
      <w:r>
        <w:rPr>
          <w:rFonts w:hint="eastAsia" w:ascii="仿宋" w:hAnsi="仿宋" w:eastAsia="仿宋" w:cs="宋体"/>
          <w:kern w:val="0"/>
          <w:sz w:val="24"/>
        </w:rPr>
        <w:t>、区文旅委及各镇街提供的相关资料</w:t>
      </w:r>
      <w:r>
        <w:rPr>
          <w:rFonts w:hint="eastAsia" w:ascii="仿宋" w:hAnsi="仿宋" w:eastAsia="仿宋"/>
          <w:sz w:val="24"/>
        </w:rPr>
        <w:t>；</w:t>
      </w:r>
    </w:p>
    <w:p>
      <w:pPr>
        <w:adjustRightInd w:val="0"/>
        <w:snapToGrid w:val="0"/>
        <w:spacing w:line="360" w:lineRule="auto"/>
        <w:ind w:firstLine="480" w:firstLineChars="200"/>
        <w:rPr>
          <w:rFonts w:ascii="仿宋" w:hAnsi="仿宋" w:eastAsia="仿宋"/>
          <w:b/>
          <w:sz w:val="24"/>
        </w:rPr>
      </w:pPr>
      <w:r>
        <w:rPr>
          <w:rFonts w:ascii="仿宋" w:hAnsi="仿宋" w:eastAsia="仿宋"/>
          <w:sz w:val="24"/>
        </w:rPr>
        <w:t>10</w:t>
      </w:r>
      <w:r>
        <w:rPr>
          <w:rFonts w:hint="eastAsia" w:ascii="仿宋" w:hAnsi="仿宋" w:eastAsia="仿宋"/>
          <w:sz w:val="24"/>
        </w:rPr>
        <w:t>、评价小组现场调查中获取的资料。</w:t>
      </w:r>
    </w:p>
    <w:p>
      <w:pPr>
        <w:adjustRightInd w:val="0"/>
        <w:snapToGrid w:val="0"/>
        <w:spacing w:line="360" w:lineRule="auto"/>
        <w:ind w:firstLine="482" w:firstLineChars="200"/>
        <w:rPr>
          <w:rFonts w:ascii="仿宋" w:hAnsi="仿宋" w:eastAsia="仿宋"/>
          <w:b/>
          <w:sz w:val="24"/>
        </w:rPr>
      </w:pPr>
      <w:r>
        <w:rPr>
          <w:rFonts w:hint="eastAsia" w:ascii="仿宋" w:hAnsi="仿宋" w:eastAsia="仿宋"/>
          <w:b/>
          <w:sz w:val="24"/>
        </w:rPr>
        <w:t>（三）绩效评价原则标准</w:t>
      </w:r>
    </w:p>
    <w:p>
      <w:pPr>
        <w:adjustRightInd w:val="0"/>
        <w:snapToGrid w:val="0"/>
        <w:spacing w:line="360" w:lineRule="auto"/>
        <w:ind w:firstLine="480" w:firstLineChars="200"/>
        <w:rPr>
          <w:rFonts w:ascii="仿宋" w:hAnsi="仿宋" w:eastAsia="仿宋"/>
          <w:b/>
          <w:sz w:val="24"/>
        </w:rPr>
      </w:pPr>
      <w:r>
        <w:rPr>
          <w:rFonts w:hint="eastAsia" w:ascii="仿宋" w:hAnsi="仿宋" w:eastAsia="仿宋"/>
          <w:sz w:val="24"/>
        </w:rPr>
        <w:t>评价工作秉承科学规范、客观公正、定性定量的原则，采取计划标准、行业标准、历史标准相结合的方式开展绩效评价。</w:t>
      </w:r>
    </w:p>
    <w:p>
      <w:pPr>
        <w:adjustRightInd w:val="0"/>
        <w:snapToGrid w:val="0"/>
        <w:spacing w:line="360" w:lineRule="auto"/>
        <w:ind w:firstLine="482" w:firstLineChars="200"/>
        <w:rPr>
          <w:rFonts w:ascii="仿宋" w:hAnsi="仿宋" w:eastAsia="仿宋"/>
          <w:b/>
          <w:sz w:val="24"/>
        </w:rPr>
      </w:pPr>
      <w:r>
        <w:rPr>
          <w:rFonts w:hint="eastAsia" w:ascii="仿宋" w:hAnsi="仿宋" w:eastAsia="仿宋"/>
          <w:b/>
          <w:sz w:val="24"/>
        </w:rPr>
        <w:t>（四）绩效评价组织管理</w:t>
      </w:r>
    </w:p>
    <w:p>
      <w:pPr>
        <w:adjustRightInd w:val="0"/>
        <w:snapToGrid w:val="0"/>
        <w:spacing w:line="360" w:lineRule="auto"/>
        <w:ind w:firstLine="480" w:firstLineChars="200"/>
        <w:rPr>
          <w:rFonts w:ascii="仿宋" w:hAnsi="仿宋" w:eastAsia="仿宋"/>
          <w:b/>
          <w:sz w:val="24"/>
        </w:rPr>
      </w:pPr>
      <w:r>
        <w:rPr>
          <w:rFonts w:hint="eastAsia" w:ascii="仿宋" w:hAnsi="仿宋" w:eastAsia="仿宋"/>
          <w:sz w:val="24"/>
        </w:rPr>
        <w:t>本次评价工作由巴南区财政局统一组织，委托重庆瑞赢会计师事务所进行项目的具体评价实施。</w:t>
      </w:r>
    </w:p>
    <w:p>
      <w:pPr>
        <w:adjustRightInd w:val="0"/>
        <w:snapToGrid w:val="0"/>
        <w:spacing w:line="360" w:lineRule="auto"/>
        <w:ind w:firstLine="482" w:firstLineChars="200"/>
        <w:rPr>
          <w:rFonts w:ascii="仿宋" w:hAnsi="仿宋" w:eastAsia="仿宋"/>
          <w:b/>
          <w:sz w:val="24"/>
        </w:rPr>
      </w:pPr>
      <w:r>
        <w:rPr>
          <w:rFonts w:hint="eastAsia" w:ascii="仿宋" w:hAnsi="仿宋" w:eastAsia="仿宋"/>
          <w:b/>
          <w:sz w:val="24"/>
        </w:rPr>
        <w:t>（五）重点评价内容</w:t>
      </w:r>
    </w:p>
    <w:p>
      <w:pPr>
        <w:adjustRightInd w:val="0"/>
        <w:snapToGrid w:val="0"/>
        <w:spacing w:line="360" w:lineRule="auto"/>
        <w:ind w:firstLine="480" w:firstLineChars="200"/>
        <w:rPr>
          <w:rFonts w:ascii="仿宋" w:hAnsi="仿宋" w:eastAsia="仿宋"/>
          <w:b/>
          <w:sz w:val="24"/>
        </w:rPr>
      </w:pPr>
      <w:r>
        <w:rPr>
          <w:rFonts w:hint="eastAsia" w:ascii="仿宋" w:hAnsi="仿宋" w:eastAsia="仿宋"/>
          <w:sz w:val="24"/>
        </w:rPr>
        <w:t>本次评价以项目和资金管理、项目完成情况、项目实施效果为重点评价内容。</w:t>
      </w:r>
    </w:p>
    <w:p>
      <w:pPr>
        <w:adjustRightInd w:val="0"/>
        <w:snapToGrid w:val="0"/>
        <w:spacing w:line="360" w:lineRule="auto"/>
        <w:ind w:firstLine="482" w:firstLineChars="200"/>
        <w:rPr>
          <w:rFonts w:ascii="仿宋" w:hAnsi="仿宋" w:eastAsia="仿宋"/>
          <w:b/>
          <w:sz w:val="24"/>
        </w:rPr>
      </w:pPr>
      <w:r>
        <w:rPr>
          <w:rFonts w:hint="eastAsia" w:ascii="仿宋" w:hAnsi="仿宋" w:eastAsia="仿宋"/>
          <w:b/>
          <w:sz w:val="24"/>
        </w:rPr>
        <w:t>（六）绩效评价指标体系</w:t>
      </w:r>
    </w:p>
    <w:p>
      <w:pPr>
        <w:adjustRightInd w:val="0"/>
        <w:snapToGrid w:val="0"/>
        <w:spacing w:line="360" w:lineRule="auto"/>
        <w:ind w:firstLine="480" w:firstLineChars="200"/>
        <w:rPr>
          <w:rFonts w:ascii="仿宋" w:hAnsi="仿宋" w:eastAsia="仿宋"/>
          <w:sz w:val="24"/>
        </w:rPr>
      </w:pPr>
      <w:r>
        <w:rPr>
          <w:rFonts w:hint="eastAsia" w:ascii="仿宋" w:hAnsi="仿宋" w:eastAsia="仿宋"/>
          <w:sz w:val="24"/>
        </w:rPr>
        <w:t>根据评价目的和原则，结合</w:t>
      </w:r>
      <w:r>
        <w:rPr>
          <w:rFonts w:ascii="仿宋" w:hAnsi="仿宋" w:eastAsia="仿宋"/>
          <w:sz w:val="24"/>
        </w:rPr>
        <w:t>2019</w:t>
      </w:r>
      <w:r>
        <w:rPr>
          <w:rFonts w:hint="eastAsia" w:ascii="仿宋" w:hAnsi="仿宋" w:eastAsia="仿宋"/>
          <w:sz w:val="24"/>
        </w:rPr>
        <w:t>年巴南区旅游发展专项资金特点，在与区级相关部门充分交流、讨论、征求意见的基础上，形成</w:t>
      </w:r>
      <w:r>
        <w:rPr>
          <w:rFonts w:ascii="仿宋" w:hAnsi="仿宋" w:eastAsia="仿宋"/>
          <w:sz w:val="24"/>
        </w:rPr>
        <w:t>2019</w:t>
      </w:r>
      <w:r>
        <w:rPr>
          <w:rFonts w:hint="eastAsia" w:ascii="仿宋" w:hAnsi="仿宋" w:eastAsia="仿宋"/>
          <w:sz w:val="24"/>
        </w:rPr>
        <w:t>年巴南区旅游发展专项资金绩效评价指标体系，该指标体系由四级指标构成，其中：一级指标4个、二级指标6个、三级指标19个、四级指标（细项指标）31个。一级指标及分值构成如下：</w:t>
      </w:r>
    </w:p>
    <w:tbl>
      <w:tblPr>
        <w:tblStyle w:val="16"/>
        <w:tblW w:w="7938" w:type="dxa"/>
        <w:jc w:val="center"/>
        <w:tblInd w:w="0" w:type="dxa"/>
        <w:tblBorders>
          <w:top w:val="single" w:color="000000" w:sz="12" w:space="0"/>
          <w:left w:val="none" w:color="auto" w:sz="0" w:space="0"/>
          <w:bottom w:val="single" w:color="000000" w:sz="12" w:space="0"/>
          <w:right w:val="none" w:color="auto" w:sz="0" w:space="0"/>
          <w:insideH w:val="single" w:color="000000" w:sz="12" w:space="0"/>
          <w:insideV w:val="none" w:color="auto" w:sz="0" w:space="0"/>
        </w:tblBorders>
        <w:tblLayout w:type="fixed"/>
        <w:tblCellMar>
          <w:top w:w="0" w:type="dxa"/>
          <w:left w:w="108" w:type="dxa"/>
          <w:bottom w:w="0" w:type="dxa"/>
          <w:right w:w="108" w:type="dxa"/>
        </w:tblCellMar>
      </w:tblPr>
      <w:tblGrid>
        <w:gridCol w:w="1659"/>
        <w:gridCol w:w="1134"/>
        <w:gridCol w:w="1134"/>
        <w:gridCol w:w="1418"/>
        <w:gridCol w:w="1134"/>
        <w:gridCol w:w="1459"/>
      </w:tblGrid>
      <w:tr>
        <w:tblPrEx>
          <w:tblBorders>
            <w:top w:val="single" w:color="000000" w:sz="12" w:space="0"/>
            <w:left w:val="none" w:color="auto" w:sz="0" w:space="0"/>
            <w:bottom w:val="single" w:color="000000" w:sz="12" w:space="0"/>
            <w:right w:val="none" w:color="auto" w:sz="0" w:space="0"/>
            <w:insideH w:val="single" w:color="000000" w:sz="12" w:space="0"/>
            <w:insideV w:val="none" w:color="auto" w:sz="0" w:space="0"/>
          </w:tblBorders>
          <w:tblLayout w:type="fixed"/>
          <w:tblCellMar>
            <w:top w:w="0" w:type="dxa"/>
            <w:left w:w="108" w:type="dxa"/>
            <w:bottom w:w="0" w:type="dxa"/>
            <w:right w:w="108" w:type="dxa"/>
          </w:tblCellMar>
        </w:tblPrEx>
        <w:trPr>
          <w:trHeight w:val="499" w:hRule="atLeast"/>
          <w:jc w:val="center"/>
        </w:trPr>
        <w:tc>
          <w:tcPr>
            <w:tcW w:w="1659" w:type="dxa"/>
            <w:vAlign w:val="center"/>
          </w:tcPr>
          <w:p>
            <w:pPr>
              <w:adjustRightInd w:val="0"/>
              <w:snapToGrid w:val="0"/>
              <w:spacing w:before="156" w:beforeLines="50" w:line="360" w:lineRule="auto"/>
              <w:jc w:val="center"/>
              <w:rPr>
                <w:rFonts w:ascii="仿宋" w:hAnsi="仿宋" w:eastAsia="仿宋"/>
                <w:bCs/>
                <w:sz w:val="24"/>
              </w:rPr>
            </w:pPr>
            <w:r>
              <w:rPr>
                <w:rFonts w:hint="eastAsia" w:ascii="仿宋" w:hAnsi="仿宋" w:eastAsia="仿宋" w:cs="宋体"/>
                <w:bCs/>
                <w:sz w:val="24"/>
              </w:rPr>
              <w:t>一级指标</w:t>
            </w:r>
          </w:p>
        </w:tc>
        <w:tc>
          <w:tcPr>
            <w:tcW w:w="1134" w:type="dxa"/>
            <w:vAlign w:val="center"/>
          </w:tcPr>
          <w:p>
            <w:pPr>
              <w:adjustRightInd w:val="0"/>
              <w:snapToGrid w:val="0"/>
              <w:spacing w:before="156" w:beforeLines="50" w:line="360" w:lineRule="auto"/>
              <w:jc w:val="center"/>
              <w:rPr>
                <w:rFonts w:ascii="仿宋" w:hAnsi="仿宋" w:eastAsia="仿宋"/>
                <w:bCs/>
                <w:sz w:val="24"/>
              </w:rPr>
            </w:pPr>
            <w:r>
              <w:rPr>
                <w:rFonts w:hint="eastAsia" w:ascii="仿宋" w:hAnsi="仿宋" w:eastAsia="仿宋" w:cs="宋体"/>
                <w:bCs/>
                <w:sz w:val="24"/>
              </w:rPr>
              <w:t>投入</w:t>
            </w:r>
          </w:p>
        </w:tc>
        <w:tc>
          <w:tcPr>
            <w:tcW w:w="1134" w:type="dxa"/>
            <w:vAlign w:val="center"/>
          </w:tcPr>
          <w:p>
            <w:pPr>
              <w:adjustRightInd w:val="0"/>
              <w:snapToGrid w:val="0"/>
              <w:spacing w:before="156" w:beforeLines="50" w:line="360" w:lineRule="auto"/>
              <w:jc w:val="center"/>
              <w:rPr>
                <w:rFonts w:ascii="仿宋" w:hAnsi="仿宋" w:eastAsia="仿宋"/>
                <w:bCs/>
                <w:sz w:val="24"/>
              </w:rPr>
            </w:pPr>
            <w:r>
              <w:rPr>
                <w:rFonts w:hint="eastAsia" w:ascii="仿宋" w:hAnsi="仿宋" w:eastAsia="仿宋" w:cs="宋体"/>
                <w:bCs/>
                <w:sz w:val="24"/>
              </w:rPr>
              <w:t>管理</w:t>
            </w:r>
          </w:p>
        </w:tc>
        <w:tc>
          <w:tcPr>
            <w:tcW w:w="1418" w:type="dxa"/>
            <w:vAlign w:val="center"/>
          </w:tcPr>
          <w:p>
            <w:pPr>
              <w:adjustRightInd w:val="0"/>
              <w:snapToGrid w:val="0"/>
              <w:spacing w:before="156" w:beforeLines="50" w:line="360" w:lineRule="auto"/>
              <w:jc w:val="center"/>
              <w:rPr>
                <w:rFonts w:ascii="仿宋" w:hAnsi="仿宋" w:eastAsia="仿宋"/>
                <w:bCs/>
                <w:sz w:val="24"/>
              </w:rPr>
            </w:pPr>
            <w:r>
              <w:rPr>
                <w:rFonts w:hint="eastAsia" w:ascii="仿宋" w:hAnsi="仿宋" w:eastAsia="仿宋" w:cs="宋体"/>
                <w:bCs/>
                <w:sz w:val="24"/>
              </w:rPr>
              <w:t>产出</w:t>
            </w:r>
          </w:p>
        </w:tc>
        <w:tc>
          <w:tcPr>
            <w:tcW w:w="1134" w:type="dxa"/>
          </w:tcPr>
          <w:p>
            <w:pPr>
              <w:adjustRightInd w:val="0"/>
              <w:snapToGrid w:val="0"/>
              <w:spacing w:before="156" w:beforeLines="50" w:line="360" w:lineRule="auto"/>
              <w:jc w:val="center"/>
              <w:rPr>
                <w:rFonts w:ascii="仿宋" w:hAnsi="仿宋" w:eastAsia="仿宋"/>
                <w:bCs/>
                <w:sz w:val="24"/>
              </w:rPr>
            </w:pPr>
            <w:r>
              <w:rPr>
                <w:rFonts w:hint="eastAsia" w:ascii="仿宋" w:hAnsi="仿宋" w:eastAsia="仿宋" w:cs="宋体"/>
                <w:bCs/>
                <w:sz w:val="24"/>
              </w:rPr>
              <w:t>效果</w:t>
            </w:r>
          </w:p>
        </w:tc>
        <w:tc>
          <w:tcPr>
            <w:tcW w:w="1459" w:type="dxa"/>
          </w:tcPr>
          <w:p>
            <w:pPr>
              <w:adjustRightInd w:val="0"/>
              <w:snapToGrid w:val="0"/>
              <w:spacing w:before="156" w:beforeLines="50" w:line="360" w:lineRule="auto"/>
              <w:jc w:val="center"/>
              <w:rPr>
                <w:rFonts w:ascii="仿宋" w:hAnsi="仿宋" w:eastAsia="仿宋"/>
                <w:bCs/>
                <w:sz w:val="24"/>
              </w:rPr>
            </w:pPr>
            <w:r>
              <w:rPr>
                <w:rFonts w:hint="eastAsia" w:ascii="仿宋" w:hAnsi="仿宋" w:eastAsia="仿宋" w:cs="宋体"/>
                <w:bCs/>
                <w:sz w:val="24"/>
              </w:rPr>
              <w:t>合计</w:t>
            </w:r>
          </w:p>
        </w:tc>
      </w:tr>
      <w:tr>
        <w:tblPrEx>
          <w:tblBorders>
            <w:top w:val="single" w:color="000000" w:sz="12" w:space="0"/>
            <w:left w:val="none" w:color="auto" w:sz="0" w:space="0"/>
            <w:bottom w:val="single" w:color="000000" w:sz="12" w:space="0"/>
            <w:right w:val="none" w:color="auto" w:sz="0" w:space="0"/>
            <w:insideH w:val="single" w:color="000000" w:sz="12" w:space="0"/>
            <w:insideV w:val="none" w:color="auto" w:sz="0" w:space="0"/>
          </w:tblBorders>
          <w:tblLayout w:type="fixed"/>
          <w:tblCellMar>
            <w:top w:w="0" w:type="dxa"/>
            <w:left w:w="108" w:type="dxa"/>
            <w:bottom w:w="0" w:type="dxa"/>
            <w:right w:w="108" w:type="dxa"/>
          </w:tblCellMar>
        </w:tblPrEx>
        <w:trPr>
          <w:trHeight w:val="592" w:hRule="atLeast"/>
          <w:jc w:val="center"/>
        </w:trPr>
        <w:tc>
          <w:tcPr>
            <w:tcW w:w="1659" w:type="dxa"/>
          </w:tcPr>
          <w:p>
            <w:pPr>
              <w:adjustRightInd w:val="0"/>
              <w:snapToGrid w:val="0"/>
              <w:spacing w:before="156" w:beforeLines="50" w:line="360" w:lineRule="auto"/>
              <w:ind w:firstLine="120" w:firstLineChars="50"/>
              <w:jc w:val="center"/>
              <w:rPr>
                <w:rFonts w:ascii="仿宋" w:hAnsi="仿宋" w:eastAsia="仿宋"/>
                <w:bCs/>
                <w:sz w:val="24"/>
              </w:rPr>
            </w:pPr>
            <w:r>
              <w:rPr>
                <w:rFonts w:hint="eastAsia" w:ascii="仿宋" w:hAnsi="仿宋" w:eastAsia="仿宋" w:cs="宋体"/>
                <w:bCs/>
                <w:sz w:val="24"/>
              </w:rPr>
              <w:t>分值</w:t>
            </w:r>
          </w:p>
        </w:tc>
        <w:tc>
          <w:tcPr>
            <w:tcW w:w="1134" w:type="dxa"/>
          </w:tcPr>
          <w:p>
            <w:pPr>
              <w:adjustRightInd w:val="0"/>
              <w:snapToGrid w:val="0"/>
              <w:spacing w:before="156" w:beforeLines="50" w:line="360" w:lineRule="auto"/>
              <w:jc w:val="center"/>
              <w:rPr>
                <w:rFonts w:ascii="仿宋" w:hAnsi="仿宋" w:eastAsia="仿宋" w:cs="Arial Narrow"/>
                <w:bCs/>
                <w:sz w:val="24"/>
              </w:rPr>
            </w:pPr>
            <w:r>
              <w:rPr>
                <w:rFonts w:hint="eastAsia" w:ascii="仿宋" w:hAnsi="仿宋" w:eastAsia="仿宋" w:cs="Arial Narrow"/>
                <w:bCs/>
                <w:sz w:val="24"/>
              </w:rPr>
              <w:t>2</w:t>
            </w:r>
            <w:r>
              <w:rPr>
                <w:rFonts w:ascii="仿宋" w:hAnsi="仿宋" w:eastAsia="仿宋" w:cs="Arial Narrow"/>
                <w:bCs/>
                <w:sz w:val="24"/>
              </w:rPr>
              <w:t>0</w:t>
            </w:r>
          </w:p>
        </w:tc>
        <w:tc>
          <w:tcPr>
            <w:tcW w:w="1134" w:type="dxa"/>
          </w:tcPr>
          <w:p>
            <w:pPr>
              <w:adjustRightInd w:val="0"/>
              <w:snapToGrid w:val="0"/>
              <w:spacing w:before="156" w:beforeLines="50" w:line="360" w:lineRule="auto"/>
              <w:jc w:val="center"/>
              <w:rPr>
                <w:rFonts w:ascii="仿宋" w:hAnsi="仿宋" w:eastAsia="仿宋" w:cs="Arial Narrow"/>
                <w:bCs/>
                <w:sz w:val="24"/>
              </w:rPr>
            </w:pPr>
            <w:r>
              <w:rPr>
                <w:rFonts w:hint="eastAsia" w:ascii="仿宋" w:hAnsi="仿宋" w:eastAsia="仿宋" w:cs="Arial Narrow"/>
                <w:bCs/>
                <w:sz w:val="24"/>
              </w:rPr>
              <w:t>2</w:t>
            </w:r>
            <w:r>
              <w:rPr>
                <w:rFonts w:ascii="仿宋" w:hAnsi="仿宋" w:eastAsia="仿宋" w:cs="Arial Narrow"/>
                <w:bCs/>
                <w:sz w:val="24"/>
              </w:rPr>
              <w:t>0</w:t>
            </w:r>
          </w:p>
        </w:tc>
        <w:tc>
          <w:tcPr>
            <w:tcW w:w="1418" w:type="dxa"/>
          </w:tcPr>
          <w:p>
            <w:pPr>
              <w:adjustRightInd w:val="0"/>
              <w:snapToGrid w:val="0"/>
              <w:spacing w:before="156" w:beforeLines="50" w:line="360" w:lineRule="auto"/>
              <w:jc w:val="center"/>
              <w:rPr>
                <w:rFonts w:ascii="仿宋" w:hAnsi="仿宋" w:eastAsia="仿宋" w:cs="Arial Narrow"/>
                <w:bCs/>
                <w:sz w:val="24"/>
              </w:rPr>
            </w:pPr>
            <w:r>
              <w:rPr>
                <w:rFonts w:hint="eastAsia" w:ascii="仿宋" w:hAnsi="仿宋" w:eastAsia="仿宋" w:cs="Arial Narrow"/>
                <w:bCs/>
                <w:sz w:val="24"/>
              </w:rPr>
              <w:t>3</w:t>
            </w:r>
            <w:r>
              <w:rPr>
                <w:rFonts w:ascii="仿宋" w:hAnsi="仿宋" w:eastAsia="仿宋" w:cs="Arial Narrow"/>
                <w:bCs/>
                <w:sz w:val="24"/>
              </w:rPr>
              <w:t>0</w:t>
            </w:r>
          </w:p>
        </w:tc>
        <w:tc>
          <w:tcPr>
            <w:tcW w:w="1134" w:type="dxa"/>
          </w:tcPr>
          <w:p>
            <w:pPr>
              <w:adjustRightInd w:val="0"/>
              <w:snapToGrid w:val="0"/>
              <w:spacing w:before="156" w:beforeLines="50" w:line="360" w:lineRule="auto"/>
              <w:jc w:val="center"/>
              <w:rPr>
                <w:rFonts w:ascii="仿宋" w:hAnsi="仿宋" w:eastAsia="仿宋" w:cs="Arial Narrow"/>
                <w:bCs/>
                <w:sz w:val="24"/>
              </w:rPr>
            </w:pPr>
            <w:r>
              <w:rPr>
                <w:rFonts w:hint="eastAsia" w:ascii="仿宋" w:hAnsi="仿宋" w:eastAsia="仿宋" w:cs="Arial Narrow"/>
                <w:bCs/>
                <w:sz w:val="24"/>
              </w:rPr>
              <w:t>3</w:t>
            </w:r>
            <w:r>
              <w:rPr>
                <w:rFonts w:ascii="仿宋" w:hAnsi="仿宋" w:eastAsia="仿宋" w:cs="Arial Narrow"/>
                <w:bCs/>
                <w:sz w:val="24"/>
              </w:rPr>
              <w:t>0</w:t>
            </w:r>
          </w:p>
        </w:tc>
        <w:tc>
          <w:tcPr>
            <w:tcW w:w="1459" w:type="dxa"/>
          </w:tcPr>
          <w:p>
            <w:pPr>
              <w:adjustRightInd w:val="0"/>
              <w:snapToGrid w:val="0"/>
              <w:spacing w:before="156" w:beforeLines="50" w:line="360" w:lineRule="auto"/>
              <w:jc w:val="center"/>
              <w:rPr>
                <w:rFonts w:ascii="仿宋" w:hAnsi="仿宋" w:eastAsia="仿宋" w:cs="Arial Narrow"/>
                <w:bCs/>
                <w:sz w:val="24"/>
              </w:rPr>
            </w:pPr>
            <w:r>
              <w:rPr>
                <w:rFonts w:ascii="仿宋" w:hAnsi="仿宋" w:eastAsia="仿宋" w:cs="Arial Narrow"/>
                <w:bCs/>
                <w:sz w:val="24"/>
              </w:rPr>
              <w:t>100</w:t>
            </w:r>
          </w:p>
        </w:tc>
      </w:tr>
    </w:tbl>
    <w:p>
      <w:pPr>
        <w:adjustRightInd w:val="0"/>
        <w:snapToGrid w:val="0"/>
        <w:spacing w:line="360" w:lineRule="auto"/>
        <w:ind w:firstLine="357"/>
        <w:rPr>
          <w:rFonts w:ascii="仿宋" w:hAnsi="仿宋" w:eastAsia="仿宋"/>
          <w:b/>
          <w:sz w:val="24"/>
        </w:rPr>
      </w:pPr>
      <w:r>
        <w:rPr>
          <w:rFonts w:hint="eastAsia" w:ascii="仿宋" w:hAnsi="仿宋" w:eastAsia="仿宋"/>
          <w:sz w:val="24"/>
        </w:rPr>
        <w:t>具体指标体系，详见附件。</w:t>
      </w:r>
    </w:p>
    <w:p>
      <w:pPr>
        <w:adjustRightInd w:val="0"/>
        <w:snapToGrid w:val="0"/>
        <w:spacing w:line="360" w:lineRule="auto"/>
        <w:ind w:firstLine="482" w:firstLineChars="200"/>
        <w:rPr>
          <w:rFonts w:ascii="仿宋" w:hAnsi="仿宋" w:eastAsia="仿宋"/>
          <w:b/>
          <w:sz w:val="24"/>
        </w:rPr>
      </w:pPr>
      <w:r>
        <w:rPr>
          <w:rFonts w:hint="eastAsia" w:ascii="仿宋" w:hAnsi="仿宋" w:eastAsia="仿宋"/>
          <w:b/>
          <w:sz w:val="24"/>
        </w:rPr>
        <w:t>（七）绩效评价方法</w:t>
      </w:r>
    </w:p>
    <w:p>
      <w:pPr>
        <w:adjustRightInd w:val="0"/>
        <w:snapToGrid w:val="0"/>
        <w:spacing w:line="360" w:lineRule="auto"/>
        <w:ind w:firstLine="480" w:firstLineChars="200"/>
        <w:rPr>
          <w:rFonts w:ascii="仿宋" w:hAnsi="仿宋" w:eastAsia="仿宋"/>
          <w:b/>
          <w:sz w:val="24"/>
        </w:rPr>
      </w:pPr>
      <w:r>
        <w:rPr>
          <w:rFonts w:hint="eastAsia" w:ascii="仿宋" w:hAnsi="仿宋" w:eastAsia="仿宋"/>
          <w:sz w:val="24"/>
        </w:rPr>
        <w:t>本次评价采取现场抽查和非现场评价相结合的方式实施评价，具体采用审阅核对、公众座谈、询问查证、问卷调查等评价方法。</w:t>
      </w:r>
    </w:p>
    <w:p>
      <w:pPr>
        <w:adjustRightInd w:val="0"/>
        <w:snapToGrid w:val="0"/>
        <w:spacing w:line="360" w:lineRule="auto"/>
        <w:ind w:firstLine="480" w:firstLineChars="200"/>
        <w:rPr>
          <w:rFonts w:ascii="仿宋" w:hAnsi="仿宋" w:eastAsia="仿宋"/>
          <w:b/>
          <w:sz w:val="24"/>
        </w:rPr>
      </w:pPr>
      <w:r>
        <w:rPr>
          <w:rFonts w:hint="eastAsia" w:ascii="仿宋" w:hAnsi="仿宋" w:eastAsia="仿宋"/>
          <w:sz w:val="24"/>
        </w:rPr>
        <w:t>本次评价向</w:t>
      </w:r>
      <w:bookmarkStart w:id="2" w:name="_Hlk528087987"/>
      <w:r>
        <w:rPr>
          <w:rFonts w:hint="eastAsia" w:ascii="仿宋" w:hAnsi="仿宋" w:eastAsia="仿宋"/>
          <w:sz w:val="24"/>
        </w:rPr>
        <w:t>项目实施地点附近群众共发放问卷</w:t>
      </w:r>
      <w:r>
        <w:rPr>
          <w:rFonts w:ascii="仿宋" w:hAnsi="仿宋" w:eastAsia="仿宋"/>
          <w:sz w:val="24"/>
        </w:rPr>
        <w:t>30</w:t>
      </w:r>
      <w:r>
        <w:rPr>
          <w:rFonts w:hint="eastAsia" w:ascii="仿宋" w:hAnsi="仿宋" w:eastAsia="仿宋"/>
          <w:sz w:val="24"/>
        </w:rPr>
        <w:t>份，回收有效问卷</w:t>
      </w:r>
      <w:r>
        <w:rPr>
          <w:rFonts w:ascii="仿宋" w:hAnsi="仿宋" w:eastAsia="仿宋"/>
          <w:sz w:val="24"/>
        </w:rPr>
        <w:t>30</w:t>
      </w:r>
      <w:r>
        <w:rPr>
          <w:rFonts w:hint="eastAsia" w:ascii="仿宋" w:hAnsi="仿宋" w:eastAsia="仿宋"/>
          <w:sz w:val="24"/>
        </w:rPr>
        <w:t>份</w:t>
      </w:r>
      <w:bookmarkEnd w:id="2"/>
      <w:r>
        <w:rPr>
          <w:rFonts w:hint="eastAsia" w:ascii="仿宋" w:hAnsi="仿宋" w:eastAsia="仿宋" w:cs="宋体"/>
          <w:kern w:val="0"/>
          <w:sz w:val="24"/>
        </w:rPr>
        <w:t>。</w:t>
      </w:r>
    </w:p>
    <w:p>
      <w:pPr>
        <w:adjustRightInd w:val="0"/>
        <w:snapToGrid w:val="0"/>
        <w:spacing w:line="360" w:lineRule="auto"/>
        <w:ind w:firstLine="482" w:firstLineChars="200"/>
        <w:rPr>
          <w:rFonts w:ascii="仿宋" w:hAnsi="仿宋" w:eastAsia="仿宋"/>
          <w:b/>
          <w:sz w:val="24"/>
        </w:rPr>
      </w:pPr>
      <w:r>
        <w:rPr>
          <w:rFonts w:hint="eastAsia" w:ascii="仿宋" w:hAnsi="仿宋" w:eastAsia="仿宋"/>
          <w:b/>
          <w:sz w:val="24"/>
        </w:rPr>
        <w:t>（八）绩效评价实施过程</w:t>
      </w:r>
    </w:p>
    <w:p>
      <w:pPr>
        <w:adjustRightInd w:val="0"/>
        <w:snapToGrid w:val="0"/>
        <w:spacing w:line="360" w:lineRule="auto"/>
        <w:ind w:firstLine="480" w:firstLineChars="200"/>
        <w:rPr>
          <w:rFonts w:ascii="仿宋" w:hAnsi="仿宋" w:eastAsia="仿宋"/>
          <w:b/>
          <w:sz w:val="24"/>
        </w:rPr>
      </w:pPr>
      <w:r>
        <w:rPr>
          <w:rFonts w:hint="eastAsia" w:ascii="仿宋" w:hAnsi="仿宋" w:eastAsia="仿宋" w:cs="宋体"/>
          <w:kern w:val="0"/>
          <w:sz w:val="24"/>
        </w:rPr>
        <w:t>评价工作</w:t>
      </w:r>
      <w:r>
        <w:rPr>
          <w:rFonts w:hint="eastAsia" w:ascii="仿宋" w:hAnsi="仿宋" w:eastAsia="仿宋"/>
          <w:sz w:val="24"/>
        </w:rPr>
        <w:t>主要经过以下过程：</w:t>
      </w:r>
    </w:p>
    <w:p>
      <w:pPr>
        <w:adjustRightInd w:val="0"/>
        <w:snapToGrid w:val="0"/>
        <w:spacing w:line="360" w:lineRule="auto"/>
        <w:ind w:firstLine="480" w:firstLineChars="200"/>
        <w:rPr>
          <w:rFonts w:ascii="仿宋" w:hAnsi="仿宋" w:eastAsia="仿宋"/>
          <w:b/>
          <w:sz w:val="24"/>
        </w:rPr>
      </w:pPr>
      <w:r>
        <w:rPr>
          <w:rFonts w:hint="eastAsia" w:ascii="仿宋" w:hAnsi="仿宋" w:eastAsia="仿宋"/>
          <w:sz w:val="24"/>
        </w:rPr>
        <w:t>1、前期准备：成立评价工作组，并对</w:t>
      </w:r>
      <w:r>
        <w:rPr>
          <w:rFonts w:ascii="仿宋" w:hAnsi="仿宋" w:eastAsia="仿宋"/>
          <w:sz w:val="24"/>
        </w:rPr>
        <w:t>2019</w:t>
      </w:r>
      <w:r>
        <w:rPr>
          <w:rFonts w:hint="eastAsia" w:ascii="仿宋" w:hAnsi="仿宋" w:eastAsia="仿宋"/>
          <w:sz w:val="24"/>
        </w:rPr>
        <w:t>年巴南区旅游发展专项资金相关文件进行深入学习，与相关部门就绩效评价工作开展讨论，形成绩效评价方案，明确绩效评价指标体系。</w:t>
      </w:r>
    </w:p>
    <w:p>
      <w:pPr>
        <w:adjustRightInd w:val="0"/>
        <w:snapToGrid w:val="0"/>
        <w:spacing w:line="360" w:lineRule="auto"/>
        <w:ind w:firstLine="480" w:firstLineChars="200"/>
        <w:rPr>
          <w:rFonts w:ascii="仿宋" w:hAnsi="仿宋" w:eastAsia="仿宋" w:cs="宋体"/>
          <w:b/>
          <w:kern w:val="0"/>
          <w:sz w:val="24"/>
        </w:rPr>
      </w:pPr>
      <w:r>
        <w:rPr>
          <w:rFonts w:hint="eastAsia" w:ascii="仿宋" w:hAnsi="仿宋" w:eastAsia="仿宋"/>
          <w:sz w:val="24"/>
        </w:rPr>
        <w:t>2、组织实施：评价小组人员进入项目现场，开展实地调研、公众访谈、问卷调查，对项目资料、财务资料进行查证核对。</w:t>
      </w:r>
    </w:p>
    <w:p>
      <w:pPr>
        <w:adjustRightInd w:val="0"/>
        <w:snapToGrid w:val="0"/>
        <w:spacing w:line="360" w:lineRule="auto"/>
        <w:ind w:firstLine="480" w:firstLineChars="200"/>
        <w:rPr>
          <w:rFonts w:ascii="仿宋" w:hAnsi="仿宋" w:eastAsia="仿宋"/>
          <w:b/>
          <w:kern w:val="0"/>
          <w:sz w:val="24"/>
        </w:rPr>
      </w:pPr>
      <w:r>
        <w:rPr>
          <w:rFonts w:hint="eastAsia" w:ascii="仿宋" w:hAnsi="仿宋" w:eastAsia="仿宋"/>
          <w:sz w:val="24"/>
        </w:rPr>
        <w:t>3、分析评价：对</w:t>
      </w:r>
      <w:r>
        <w:rPr>
          <w:rFonts w:hint="eastAsia" w:ascii="仿宋" w:hAnsi="仿宋" w:eastAsia="仿宋"/>
          <w:kern w:val="0"/>
          <w:sz w:val="24"/>
        </w:rPr>
        <w:t>收集的相关数据、资料、信息进行梳理、分析和甄别，按</w:t>
      </w:r>
      <w:r>
        <w:rPr>
          <w:rFonts w:hint="eastAsia" w:ascii="仿宋" w:hAnsi="仿宋" w:eastAsia="仿宋"/>
          <w:sz w:val="24"/>
        </w:rPr>
        <w:t>评价指标体系对项目进行综合评价，</w:t>
      </w:r>
      <w:r>
        <w:rPr>
          <w:rFonts w:hint="eastAsia" w:ascii="仿宋" w:hAnsi="仿宋" w:eastAsia="仿宋"/>
          <w:kern w:val="0"/>
          <w:sz w:val="24"/>
        </w:rPr>
        <w:t>将评价结果与有关部门沟通讨论并修正，形成正式评价结论。</w:t>
      </w:r>
    </w:p>
    <w:p>
      <w:pPr>
        <w:adjustRightInd w:val="0"/>
        <w:snapToGrid w:val="0"/>
        <w:spacing w:line="360" w:lineRule="auto"/>
        <w:ind w:firstLine="480" w:firstLineChars="200"/>
        <w:rPr>
          <w:rFonts w:ascii="仿宋" w:hAnsi="仿宋" w:eastAsia="仿宋"/>
          <w:b/>
          <w:kern w:val="0"/>
          <w:sz w:val="24"/>
        </w:rPr>
      </w:pPr>
      <w:r>
        <w:rPr>
          <w:rFonts w:hint="eastAsia" w:ascii="仿宋" w:hAnsi="仿宋" w:eastAsia="仿宋"/>
          <w:kern w:val="0"/>
          <w:sz w:val="24"/>
        </w:rPr>
        <w:t>4、编写报告：根据评价结论，</w:t>
      </w:r>
      <w:r>
        <w:rPr>
          <w:rFonts w:hint="eastAsia" w:ascii="仿宋" w:hAnsi="仿宋" w:eastAsia="仿宋"/>
          <w:sz w:val="24"/>
        </w:rPr>
        <w:t>编写绩效评价报告。</w:t>
      </w:r>
    </w:p>
    <w:p>
      <w:pPr>
        <w:pStyle w:val="12"/>
        <w:adjustRightInd w:val="0"/>
        <w:snapToGrid w:val="0"/>
        <w:spacing w:before="0" w:beforeAutospacing="0" w:after="0" w:afterAutospacing="0" w:line="360" w:lineRule="auto"/>
        <w:ind w:firstLine="482" w:firstLineChars="200"/>
        <w:rPr>
          <w:rFonts w:ascii="黑体" w:hAnsi="黑体" w:eastAsia="黑体"/>
          <w:b/>
        </w:rPr>
      </w:pPr>
      <w:r>
        <w:rPr>
          <w:rFonts w:hint="eastAsia" w:ascii="黑体" w:hAnsi="黑体" w:eastAsia="黑体"/>
          <w:b/>
        </w:rPr>
        <w:t>三、绩效评价指标分析情况</w:t>
      </w:r>
    </w:p>
    <w:p>
      <w:pPr>
        <w:pStyle w:val="12"/>
        <w:adjustRightInd w:val="0"/>
        <w:snapToGrid w:val="0"/>
        <w:spacing w:before="0" w:beforeAutospacing="0" w:after="0" w:afterAutospacing="0" w:line="360" w:lineRule="auto"/>
        <w:ind w:firstLine="482" w:firstLineChars="200"/>
        <w:rPr>
          <w:rFonts w:ascii="仿宋" w:hAnsi="仿宋" w:eastAsia="仿宋"/>
          <w:b/>
          <w:color w:val="000000" w:themeColor="text1"/>
        </w:rPr>
      </w:pPr>
      <w:r>
        <w:rPr>
          <w:rFonts w:hint="eastAsia" w:ascii="仿宋" w:hAnsi="仿宋" w:eastAsia="仿宋"/>
          <w:b/>
        </w:rPr>
        <w:t>（一）绩效目标及指标设置情况</w:t>
      </w:r>
    </w:p>
    <w:p>
      <w:pPr>
        <w:pStyle w:val="12"/>
        <w:adjustRightInd w:val="0"/>
        <w:snapToGrid w:val="0"/>
        <w:spacing w:before="0" w:beforeAutospacing="0" w:after="0" w:afterAutospacing="0" w:line="360" w:lineRule="auto"/>
        <w:ind w:firstLine="480" w:firstLineChars="200"/>
        <w:rPr>
          <w:rFonts w:ascii="仿宋" w:hAnsi="仿宋" w:eastAsia="仿宋"/>
          <w:bCs/>
          <w:color w:val="000000" w:themeColor="text1"/>
        </w:rPr>
      </w:pPr>
      <w:r>
        <w:rPr>
          <w:rFonts w:hint="eastAsia" w:ascii="仿宋" w:hAnsi="仿宋" w:eastAsia="仿宋"/>
          <w:bCs/>
          <w:color w:val="000000" w:themeColor="text1"/>
        </w:rPr>
        <w:t>项目年度绩效目标为：（</w:t>
      </w:r>
      <w:r>
        <w:rPr>
          <w:rFonts w:ascii="仿宋" w:hAnsi="仿宋" w:eastAsia="仿宋"/>
          <w:bCs/>
          <w:color w:val="000000" w:themeColor="text1"/>
        </w:rPr>
        <w:t>1</w:t>
      </w:r>
      <w:r>
        <w:rPr>
          <w:rFonts w:hint="eastAsia" w:ascii="仿宋" w:hAnsi="仿宋" w:eastAsia="仿宋"/>
          <w:bCs/>
          <w:color w:val="000000" w:themeColor="text1"/>
        </w:rPr>
        <w:t>）组织全区旅游企业举办旅游行业培训</w:t>
      </w:r>
      <w:r>
        <w:rPr>
          <w:rFonts w:ascii="仿宋" w:hAnsi="仿宋" w:eastAsia="仿宋"/>
          <w:bCs/>
          <w:color w:val="000000" w:themeColor="text1"/>
        </w:rPr>
        <w:t>1</w:t>
      </w:r>
      <w:r>
        <w:rPr>
          <w:rFonts w:hint="eastAsia" w:ascii="仿宋" w:hAnsi="仿宋" w:eastAsia="仿宋"/>
          <w:bCs/>
          <w:color w:val="000000" w:themeColor="text1"/>
        </w:rPr>
        <w:t>次；（</w:t>
      </w:r>
      <w:r>
        <w:rPr>
          <w:rFonts w:ascii="仿宋" w:hAnsi="仿宋" w:eastAsia="仿宋"/>
          <w:bCs/>
          <w:color w:val="000000" w:themeColor="text1"/>
        </w:rPr>
        <w:t>2</w:t>
      </w:r>
      <w:r>
        <w:rPr>
          <w:rFonts w:hint="eastAsia" w:ascii="仿宋" w:hAnsi="仿宋" w:eastAsia="仿宋"/>
          <w:bCs/>
          <w:color w:val="000000" w:themeColor="text1"/>
        </w:rPr>
        <w:t>）发布旅游公众微信</w:t>
      </w:r>
      <w:r>
        <w:rPr>
          <w:rFonts w:ascii="仿宋" w:hAnsi="仿宋" w:eastAsia="仿宋"/>
          <w:bCs/>
          <w:color w:val="000000" w:themeColor="text1"/>
        </w:rPr>
        <w:t>200</w:t>
      </w:r>
      <w:r>
        <w:rPr>
          <w:rFonts w:hint="eastAsia" w:ascii="仿宋" w:hAnsi="仿宋" w:eastAsia="仿宋"/>
          <w:bCs/>
          <w:color w:val="000000" w:themeColor="text1"/>
        </w:rPr>
        <w:t>期；（</w:t>
      </w:r>
      <w:r>
        <w:rPr>
          <w:rFonts w:ascii="仿宋" w:hAnsi="仿宋" w:eastAsia="仿宋"/>
          <w:bCs/>
          <w:color w:val="000000" w:themeColor="text1"/>
        </w:rPr>
        <w:t>3</w:t>
      </w:r>
      <w:r>
        <w:rPr>
          <w:rFonts w:hint="eastAsia" w:ascii="仿宋" w:hAnsi="仿宋" w:eastAsia="仿宋"/>
          <w:bCs/>
          <w:color w:val="000000" w:themeColor="text1"/>
        </w:rPr>
        <w:t>）发布报刊媒体宣传资讯</w:t>
      </w:r>
      <w:r>
        <w:rPr>
          <w:rFonts w:ascii="仿宋" w:hAnsi="仿宋" w:eastAsia="仿宋"/>
          <w:bCs/>
          <w:color w:val="000000" w:themeColor="text1"/>
        </w:rPr>
        <w:t>60</w:t>
      </w:r>
      <w:r>
        <w:rPr>
          <w:rFonts w:hint="eastAsia" w:ascii="仿宋" w:hAnsi="仿宋" w:eastAsia="仿宋"/>
          <w:bCs/>
          <w:color w:val="000000" w:themeColor="text1"/>
        </w:rPr>
        <w:t>条；（</w:t>
      </w:r>
      <w:r>
        <w:rPr>
          <w:rFonts w:ascii="仿宋" w:hAnsi="仿宋" w:eastAsia="仿宋"/>
          <w:bCs/>
          <w:color w:val="000000" w:themeColor="text1"/>
        </w:rPr>
        <w:t>4</w:t>
      </w:r>
      <w:r>
        <w:rPr>
          <w:rFonts w:hint="eastAsia" w:ascii="仿宋" w:hAnsi="仿宋" w:eastAsia="仿宋"/>
          <w:bCs/>
          <w:color w:val="000000" w:themeColor="text1"/>
        </w:rPr>
        <w:t>）指导举办旅游节会</w:t>
      </w:r>
      <w:r>
        <w:rPr>
          <w:rFonts w:ascii="仿宋" w:hAnsi="仿宋" w:eastAsia="仿宋"/>
          <w:bCs/>
          <w:color w:val="000000" w:themeColor="text1"/>
        </w:rPr>
        <w:t>4</w:t>
      </w:r>
      <w:r>
        <w:rPr>
          <w:rFonts w:hint="eastAsia" w:ascii="仿宋" w:hAnsi="仿宋" w:eastAsia="仿宋"/>
          <w:bCs/>
          <w:color w:val="000000" w:themeColor="text1"/>
        </w:rPr>
        <w:t>次；（</w:t>
      </w:r>
      <w:r>
        <w:rPr>
          <w:rFonts w:ascii="仿宋" w:hAnsi="仿宋" w:eastAsia="仿宋"/>
          <w:bCs/>
          <w:color w:val="000000" w:themeColor="text1"/>
        </w:rPr>
        <w:t>5</w:t>
      </w:r>
      <w:r>
        <w:rPr>
          <w:rFonts w:hint="eastAsia" w:ascii="仿宋" w:hAnsi="仿宋" w:eastAsia="仿宋"/>
          <w:bCs/>
          <w:color w:val="000000" w:themeColor="text1"/>
        </w:rPr>
        <w:t>）参与国内旅游交易会</w:t>
      </w:r>
      <w:r>
        <w:rPr>
          <w:rFonts w:ascii="仿宋" w:hAnsi="仿宋" w:eastAsia="仿宋"/>
          <w:bCs/>
          <w:color w:val="000000" w:themeColor="text1"/>
        </w:rPr>
        <w:t>2</w:t>
      </w:r>
      <w:r>
        <w:rPr>
          <w:rFonts w:hint="eastAsia" w:ascii="仿宋" w:hAnsi="仿宋" w:eastAsia="仿宋"/>
          <w:bCs/>
          <w:color w:val="000000" w:themeColor="text1"/>
        </w:rPr>
        <w:t>次以上，宣传巴南旅游。设置的绩效指标中，产出指标与绩效目标内容一致，经济效益指标为</w:t>
      </w:r>
      <w:r>
        <w:rPr>
          <w:rFonts w:ascii="仿宋" w:hAnsi="仿宋" w:eastAsia="仿宋"/>
          <w:bCs/>
          <w:color w:val="000000" w:themeColor="text1"/>
        </w:rPr>
        <w:t>2019</w:t>
      </w:r>
      <w:r>
        <w:rPr>
          <w:rFonts w:hint="eastAsia" w:ascii="仿宋" w:hAnsi="仿宋" w:eastAsia="仿宋"/>
          <w:bCs/>
          <w:color w:val="000000" w:themeColor="text1"/>
        </w:rPr>
        <w:t>年预计实现全区旅游综合经济收入</w:t>
      </w:r>
      <w:r>
        <w:rPr>
          <w:rFonts w:ascii="仿宋" w:hAnsi="仿宋" w:eastAsia="仿宋"/>
          <w:bCs/>
          <w:color w:val="000000" w:themeColor="text1"/>
        </w:rPr>
        <w:t>115</w:t>
      </w:r>
      <w:r>
        <w:rPr>
          <w:rFonts w:hint="eastAsia" w:ascii="仿宋" w:hAnsi="仿宋" w:eastAsia="仿宋"/>
          <w:bCs/>
          <w:color w:val="000000" w:themeColor="text1"/>
        </w:rPr>
        <w:t>亿元，社会效益指标为</w:t>
      </w:r>
      <w:r>
        <w:rPr>
          <w:rFonts w:ascii="仿宋" w:hAnsi="仿宋" w:eastAsia="仿宋"/>
          <w:bCs/>
          <w:color w:val="000000" w:themeColor="text1"/>
        </w:rPr>
        <w:t>2019</w:t>
      </w:r>
      <w:r>
        <w:rPr>
          <w:rFonts w:hint="eastAsia" w:ascii="仿宋" w:hAnsi="仿宋" w:eastAsia="仿宋"/>
          <w:bCs/>
          <w:color w:val="000000" w:themeColor="text1"/>
        </w:rPr>
        <w:t>年全区接待旅游人次</w:t>
      </w:r>
      <w:r>
        <w:rPr>
          <w:rFonts w:ascii="仿宋" w:hAnsi="仿宋" w:eastAsia="仿宋"/>
          <w:bCs/>
          <w:color w:val="000000" w:themeColor="text1"/>
        </w:rPr>
        <w:t>3500</w:t>
      </w:r>
      <w:r>
        <w:rPr>
          <w:rFonts w:hint="eastAsia" w:ascii="仿宋" w:hAnsi="仿宋" w:eastAsia="仿宋"/>
          <w:bCs/>
          <w:color w:val="000000" w:themeColor="text1"/>
        </w:rPr>
        <w:t>万人次。</w:t>
      </w:r>
    </w:p>
    <w:p>
      <w:pPr>
        <w:pStyle w:val="12"/>
        <w:adjustRightInd w:val="0"/>
        <w:snapToGrid w:val="0"/>
        <w:spacing w:before="0" w:beforeAutospacing="0" w:after="0" w:afterAutospacing="0" w:line="360" w:lineRule="auto"/>
        <w:ind w:firstLine="480" w:firstLineChars="200"/>
        <w:rPr>
          <w:rFonts w:ascii="仿宋" w:hAnsi="仿宋" w:eastAsia="仿宋"/>
          <w:bCs/>
          <w:color w:val="000000" w:themeColor="text1"/>
        </w:rPr>
      </w:pPr>
      <w:r>
        <w:rPr>
          <w:rFonts w:hint="eastAsia" w:ascii="仿宋" w:hAnsi="仿宋" w:eastAsia="仿宋"/>
          <w:bCs/>
          <w:color w:val="000000" w:themeColor="text1"/>
        </w:rPr>
        <w:t>虽然按要求设置了项目绩效目标和绩效指标，但绩效目标和指标的设置不够规范。一是将年度工作任务作为年度总体目标不恰当；二是产出指标未与资金安排项目结合，存在缺项漏项，产出指标与资金量和项目情况严重不匹配；三是绩效指标中未设置满意度指标。</w:t>
      </w:r>
    </w:p>
    <w:p>
      <w:pPr>
        <w:pStyle w:val="12"/>
        <w:adjustRightInd w:val="0"/>
        <w:snapToGrid w:val="0"/>
        <w:spacing w:before="0" w:beforeAutospacing="0" w:after="0" w:afterAutospacing="0" w:line="360" w:lineRule="auto"/>
        <w:ind w:firstLine="482" w:firstLineChars="200"/>
        <w:rPr>
          <w:rFonts w:ascii="仿宋" w:hAnsi="仿宋" w:eastAsia="仿宋"/>
          <w:b/>
        </w:rPr>
      </w:pPr>
      <w:r>
        <w:rPr>
          <w:rFonts w:hint="eastAsia" w:ascii="仿宋" w:hAnsi="仿宋" w:eastAsia="仿宋"/>
          <w:b/>
        </w:rPr>
        <w:t>（二）项目资金情况分析。</w:t>
      </w:r>
    </w:p>
    <w:p>
      <w:pPr>
        <w:pStyle w:val="12"/>
        <w:adjustRightInd w:val="0"/>
        <w:snapToGrid w:val="0"/>
        <w:spacing w:before="0" w:beforeAutospacing="0" w:after="0" w:afterAutospacing="0" w:line="360" w:lineRule="auto"/>
        <w:ind w:firstLine="482" w:firstLineChars="200"/>
        <w:rPr>
          <w:rFonts w:ascii="仿宋" w:hAnsi="仿宋" w:eastAsia="仿宋"/>
          <w:b/>
        </w:rPr>
      </w:pPr>
      <w:r>
        <w:rPr>
          <w:rFonts w:ascii="仿宋" w:hAnsi="仿宋" w:eastAsia="仿宋"/>
          <w:b/>
        </w:rPr>
        <w:t>1</w:t>
      </w:r>
      <w:r>
        <w:rPr>
          <w:rFonts w:hint="eastAsia" w:ascii="仿宋" w:hAnsi="仿宋" w:eastAsia="仿宋"/>
          <w:b/>
        </w:rPr>
        <w:t>、项目资金到位情况分析。</w:t>
      </w:r>
    </w:p>
    <w:p>
      <w:pPr>
        <w:pStyle w:val="12"/>
        <w:adjustRightInd w:val="0"/>
        <w:snapToGrid w:val="0"/>
        <w:spacing w:before="0" w:beforeAutospacing="0" w:after="0" w:afterAutospacing="0" w:line="360" w:lineRule="auto"/>
        <w:ind w:firstLine="480" w:firstLineChars="200"/>
        <w:rPr>
          <w:rFonts w:ascii="仿宋" w:hAnsi="仿宋" w:eastAsia="仿宋"/>
          <w:bCs/>
        </w:rPr>
      </w:pPr>
      <w:r>
        <w:rPr>
          <w:rFonts w:hint="eastAsia" w:ascii="仿宋" w:hAnsi="仿宋" w:eastAsia="仿宋"/>
          <w:bCs/>
        </w:rPr>
        <w:t>巴南区旅游发展专项资金由财政预算内资金负担，2</w:t>
      </w:r>
      <w:r>
        <w:rPr>
          <w:rFonts w:ascii="仿宋" w:hAnsi="仿宋" w:eastAsia="仿宋"/>
          <w:bCs/>
        </w:rPr>
        <w:t>019</w:t>
      </w:r>
      <w:r>
        <w:rPr>
          <w:rFonts w:hint="eastAsia" w:ascii="仿宋" w:hAnsi="仿宋" w:eastAsia="仿宋"/>
          <w:bCs/>
        </w:rPr>
        <w:t>年财政预算资金</w:t>
      </w:r>
      <w:r>
        <w:rPr>
          <w:rFonts w:ascii="仿宋" w:hAnsi="仿宋" w:eastAsia="仿宋"/>
          <w:bCs/>
        </w:rPr>
        <w:t>1500</w:t>
      </w:r>
      <w:r>
        <w:rPr>
          <w:rFonts w:hint="eastAsia" w:ascii="仿宋" w:hAnsi="仿宋" w:eastAsia="仿宋"/>
          <w:bCs/>
        </w:rPr>
        <w:t>万元。按照资金安排计划：</w:t>
      </w:r>
      <w:r>
        <w:rPr>
          <w:rFonts w:hint="eastAsia" w:ascii="仿宋" w:hAnsi="仿宋" w:eastAsia="仿宋"/>
        </w:rPr>
        <w:t>区文旅委1</w:t>
      </w:r>
      <w:r>
        <w:rPr>
          <w:rFonts w:ascii="仿宋" w:hAnsi="仿宋" w:eastAsia="仿宋"/>
        </w:rPr>
        <w:t>175</w:t>
      </w:r>
      <w:r>
        <w:rPr>
          <w:rFonts w:hint="eastAsia" w:ascii="仿宋" w:hAnsi="仿宋" w:eastAsia="仿宋"/>
        </w:rPr>
        <w:t>万元，丰盛镇2</w:t>
      </w:r>
      <w:r>
        <w:rPr>
          <w:rFonts w:ascii="仿宋" w:hAnsi="仿宋" w:eastAsia="仿宋"/>
        </w:rPr>
        <w:t>00</w:t>
      </w:r>
      <w:r>
        <w:rPr>
          <w:rFonts w:hint="eastAsia" w:ascii="仿宋" w:hAnsi="仿宋" w:eastAsia="仿宋"/>
        </w:rPr>
        <w:t>万元，南温泉风管处5</w:t>
      </w:r>
      <w:r>
        <w:rPr>
          <w:rFonts w:ascii="仿宋" w:hAnsi="仿宋" w:eastAsia="仿宋"/>
        </w:rPr>
        <w:t>0</w:t>
      </w:r>
      <w:r>
        <w:rPr>
          <w:rFonts w:hint="eastAsia" w:ascii="仿宋" w:hAnsi="仿宋" w:eastAsia="仿宋"/>
        </w:rPr>
        <w:t>万元，南泉街道1</w:t>
      </w:r>
      <w:r>
        <w:rPr>
          <w:rFonts w:ascii="仿宋" w:hAnsi="仿宋" w:eastAsia="仿宋"/>
        </w:rPr>
        <w:t>0</w:t>
      </w:r>
      <w:r>
        <w:rPr>
          <w:rFonts w:hint="eastAsia" w:ascii="仿宋" w:hAnsi="仿宋" w:eastAsia="仿宋"/>
        </w:rPr>
        <w:t>万元，天星寺镇4</w:t>
      </w:r>
      <w:r>
        <w:rPr>
          <w:rFonts w:ascii="仿宋" w:hAnsi="仿宋" w:eastAsia="仿宋"/>
        </w:rPr>
        <w:t>0</w:t>
      </w:r>
      <w:r>
        <w:rPr>
          <w:rFonts w:hint="eastAsia" w:ascii="仿宋" w:hAnsi="仿宋" w:eastAsia="仿宋"/>
        </w:rPr>
        <w:t>万元，二圣镇2</w:t>
      </w:r>
      <w:r>
        <w:rPr>
          <w:rFonts w:ascii="仿宋" w:hAnsi="仿宋" w:eastAsia="仿宋"/>
        </w:rPr>
        <w:t>0</w:t>
      </w:r>
      <w:r>
        <w:rPr>
          <w:rFonts w:hint="eastAsia" w:ascii="仿宋" w:hAnsi="仿宋" w:eastAsia="仿宋"/>
        </w:rPr>
        <w:t>万元，惠民街道5万元。</w:t>
      </w:r>
      <w:r>
        <w:rPr>
          <w:rFonts w:hint="eastAsia" w:ascii="仿宋" w:hAnsi="仿宋" w:eastAsia="仿宋"/>
          <w:bCs/>
        </w:rPr>
        <w:t>已全部及时到位。</w:t>
      </w:r>
    </w:p>
    <w:p>
      <w:pPr>
        <w:pStyle w:val="12"/>
        <w:adjustRightInd w:val="0"/>
        <w:snapToGrid w:val="0"/>
        <w:spacing w:before="0" w:beforeAutospacing="0" w:after="0" w:afterAutospacing="0" w:line="360" w:lineRule="auto"/>
        <w:ind w:firstLine="482" w:firstLineChars="200"/>
        <w:rPr>
          <w:rFonts w:ascii="仿宋" w:hAnsi="仿宋" w:eastAsia="仿宋"/>
          <w:b/>
        </w:rPr>
      </w:pPr>
      <w:r>
        <w:rPr>
          <w:rFonts w:ascii="仿宋" w:hAnsi="仿宋" w:eastAsia="仿宋"/>
          <w:b/>
        </w:rPr>
        <w:t>2</w:t>
      </w:r>
      <w:r>
        <w:rPr>
          <w:rFonts w:hint="eastAsia" w:ascii="仿宋" w:hAnsi="仿宋" w:eastAsia="仿宋"/>
          <w:b/>
        </w:rPr>
        <w:t>、项目资金使用情况分析。</w:t>
      </w:r>
    </w:p>
    <w:p>
      <w:pPr>
        <w:pStyle w:val="12"/>
        <w:adjustRightInd w:val="0"/>
        <w:snapToGrid w:val="0"/>
        <w:spacing w:before="0" w:beforeAutospacing="0" w:after="0" w:afterAutospacing="0" w:line="360" w:lineRule="auto"/>
        <w:ind w:firstLine="480" w:firstLineChars="200"/>
        <w:rPr>
          <w:rFonts w:ascii="仿宋" w:hAnsi="仿宋" w:eastAsia="仿宋"/>
          <w:bCs/>
        </w:rPr>
      </w:pPr>
      <w:r>
        <w:rPr>
          <w:rFonts w:hint="eastAsia" w:ascii="仿宋" w:hAnsi="仿宋" w:eastAsia="仿宋"/>
          <w:bCs/>
        </w:rPr>
        <w:t>截止</w:t>
      </w:r>
      <w:r>
        <w:rPr>
          <w:rFonts w:ascii="仿宋" w:hAnsi="仿宋" w:eastAsia="仿宋"/>
          <w:bCs/>
        </w:rPr>
        <w:t>2019</w:t>
      </w:r>
      <w:r>
        <w:rPr>
          <w:rFonts w:hint="eastAsia" w:ascii="仿宋" w:hAnsi="仿宋" w:eastAsia="仿宋"/>
          <w:bCs/>
        </w:rPr>
        <w:t>年</w:t>
      </w:r>
      <w:r>
        <w:rPr>
          <w:rFonts w:ascii="仿宋" w:hAnsi="仿宋" w:eastAsia="仿宋"/>
          <w:bCs/>
        </w:rPr>
        <w:t>12</w:t>
      </w:r>
      <w:r>
        <w:rPr>
          <w:rFonts w:hint="eastAsia" w:ascii="仿宋" w:hAnsi="仿宋" w:eastAsia="仿宋"/>
          <w:bCs/>
        </w:rPr>
        <w:t>月</w:t>
      </w:r>
      <w:r>
        <w:rPr>
          <w:rFonts w:ascii="仿宋" w:hAnsi="仿宋" w:eastAsia="仿宋"/>
          <w:bCs/>
        </w:rPr>
        <w:t>31</w:t>
      </w:r>
      <w:r>
        <w:rPr>
          <w:rFonts w:hint="eastAsia" w:ascii="仿宋" w:hAnsi="仿宋" w:eastAsia="仿宋"/>
          <w:bCs/>
        </w:rPr>
        <w:t>日，</w:t>
      </w:r>
      <w:r>
        <w:rPr>
          <w:rFonts w:ascii="仿宋" w:hAnsi="仿宋" w:eastAsia="仿宋"/>
          <w:bCs/>
        </w:rPr>
        <w:t>2019</w:t>
      </w:r>
      <w:r>
        <w:rPr>
          <w:rFonts w:hint="eastAsia" w:ascii="仿宋" w:hAnsi="仿宋" w:eastAsia="仿宋"/>
          <w:bCs/>
        </w:rPr>
        <w:t>年巴南区旅游发展专项资金使用情况如下：</w:t>
      </w:r>
      <w:r>
        <w:rPr>
          <w:rFonts w:ascii="仿宋" w:hAnsi="仿宋" w:eastAsia="仿宋"/>
          <w:bCs/>
        </w:rPr>
        <w:t xml:space="preserve"> </w:t>
      </w:r>
    </w:p>
    <w:p>
      <w:pPr>
        <w:pStyle w:val="12"/>
        <w:adjustRightInd w:val="0"/>
        <w:snapToGrid w:val="0"/>
        <w:spacing w:before="0" w:beforeAutospacing="0" w:after="0" w:afterAutospacing="0" w:line="360" w:lineRule="auto"/>
        <w:rPr>
          <w:rFonts w:ascii="仿宋" w:hAnsi="仿宋" w:eastAsia="仿宋"/>
          <w:bCs/>
        </w:rPr>
      </w:pPr>
      <w:bookmarkStart w:id="3" w:name="_MON_1655642727"/>
      <w:bookmarkEnd w:id="3"/>
      <w:r>
        <w:rPr>
          <w:rFonts w:ascii="仿宋" w:hAnsi="仿宋" w:eastAsia="仿宋"/>
          <w:bCs/>
        </w:rPr>
        <w:object>
          <v:shape id="_x0000_i1026" o:spt="75" type="#_x0000_t75" style="height:288.5pt;width:410pt;" o:ole="t" filled="f" o:preferrelative="t" stroked="f" coordsize="21600,21600">
            <v:path/>
            <v:fill on="f" focussize="0,0"/>
            <v:stroke on="f" joinstyle="miter"/>
            <v:imagedata r:id="rId11" o:title=""/>
            <o:lock v:ext="edit" aspectratio="t"/>
            <w10:wrap type="none"/>
            <w10:anchorlock/>
          </v:shape>
          <o:OLEObject Type="Embed" ProgID="Excel.Sheet.12" ShapeID="_x0000_i1026" DrawAspect="Content" ObjectID="_1468075726" r:id="rId10">
            <o:LockedField>false</o:LockedField>
          </o:OLEObject>
        </w:object>
      </w:r>
    </w:p>
    <w:p>
      <w:pPr>
        <w:pStyle w:val="12"/>
        <w:adjustRightInd w:val="0"/>
        <w:snapToGrid w:val="0"/>
        <w:spacing w:before="0" w:beforeAutospacing="0" w:after="0" w:afterAutospacing="0" w:line="360" w:lineRule="auto"/>
        <w:rPr>
          <w:rFonts w:ascii="仿宋" w:hAnsi="仿宋" w:eastAsia="仿宋"/>
          <w:bCs/>
          <w:sz w:val="21"/>
          <w:szCs w:val="21"/>
        </w:rPr>
      </w:pPr>
      <w:r>
        <w:rPr>
          <w:rFonts w:hint="eastAsia" w:ascii="仿宋" w:hAnsi="仿宋" w:eastAsia="仿宋"/>
          <w:bCs/>
          <w:sz w:val="21"/>
          <w:szCs w:val="21"/>
        </w:rPr>
        <w:t>注：丰盛镇、天星寺镇、南温泉风管处部分实施项目尚未结算，结余金额暂以合同价进行计算，实际以结算金额为准；南温泉风管处实施项目结算金额1</w:t>
      </w:r>
      <w:r>
        <w:rPr>
          <w:rFonts w:ascii="仿宋" w:hAnsi="仿宋" w:eastAsia="仿宋"/>
          <w:bCs/>
          <w:sz w:val="21"/>
          <w:szCs w:val="21"/>
        </w:rPr>
        <w:t>28.42</w:t>
      </w:r>
      <w:r>
        <w:rPr>
          <w:rFonts w:hint="eastAsia" w:ascii="仿宋" w:hAnsi="仿宋" w:eastAsia="仿宋"/>
          <w:bCs/>
          <w:sz w:val="21"/>
          <w:szCs w:val="21"/>
        </w:rPr>
        <w:t>万元、天星寺镇实施项目结算金额4</w:t>
      </w:r>
      <w:r>
        <w:rPr>
          <w:rFonts w:ascii="仿宋" w:hAnsi="仿宋" w:eastAsia="仿宋"/>
          <w:bCs/>
          <w:sz w:val="21"/>
          <w:szCs w:val="21"/>
        </w:rPr>
        <w:t>2.83</w:t>
      </w:r>
      <w:r>
        <w:rPr>
          <w:rFonts w:hint="eastAsia" w:ascii="仿宋" w:hAnsi="仿宋" w:eastAsia="仿宋"/>
          <w:bCs/>
          <w:sz w:val="21"/>
          <w:szCs w:val="21"/>
        </w:rPr>
        <w:t>万元、二圣镇实施项目结算金额2</w:t>
      </w:r>
      <w:r>
        <w:rPr>
          <w:rFonts w:ascii="仿宋" w:hAnsi="仿宋" w:eastAsia="仿宋"/>
          <w:bCs/>
          <w:sz w:val="21"/>
          <w:szCs w:val="21"/>
        </w:rPr>
        <w:t>0.11</w:t>
      </w:r>
      <w:r>
        <w:rPr>
          <w:rFonts w:hint="eastAsia" w:ascii="仿宋" w:hAnsi="仿宋" w:eastAsia="仿宋"/>
          <w:bCs/>
          <w:sz w:val="21"/>
          <w:szCs w:val="21"/>
        </w:rPr>
        <w:t>万元，结算金额大于实际安排金额，超出部分由实施单位自行解决，表格中结算金额按实际安排金额列示。</w:t>
      </w:r>
    </w:p>
    <w:p>
      <w:pPr>
        <w:pStyle w:val="12"/>
        <w:adjustRightInd w:val="0"/>
        <w:snapToGrid w:val="0"/>
        <w:spacing w:before="0" w:beforeAutospacing="0" w:after="0" w:afterAutospacing="0" w:line="360" w:lineRule="auto"/>
        <w:ind w:firstLine="480"/>
        <w:rPr>
          <w:rFonts w:ascii="仿宋" w:hAnsi="仿宋" w:eastAsia="仿宋"/>
        </w:rPr>
      </w:pPr>
      <w:r>
        <w:rPr>
          <w:rFonts w:hint="eastAsia" w:ascii="仿宋" w:hAnsi="仿宋" w:eastAsia="仿宋"/>
          <w:bCs/>
        </w:rPr>
        <w:t>评价发现，区文旅委实施的旅游品牌推广项目中，列支有1</w:t>
      </w:r>
      <w:r>
        <w:rPr>
          <w:rFonts w:ascii="仿宋" w:hAnsi="仿宋" w:eastAsia="仿宋"/>
          <w:bCs/>
        </w:rPr>
        <w:t>7.79</w:t>
      </w:r>
      <w:r>
        <w:rPr>
          <w:rFonts w:hint="eastAsia" w:ascii="仿宋" w:hAnsi="仿宋" w:eastAsia="仿宋"/>
          <w:bCs/>
        </w:rPr>
        <w:t>万元日常运行费用，其中电费3</w:t>
      </w:r>
      <w:r>
        <w:rPr>
          <w:rFonts w:ascii="仿宋" w:hAnsi="仿宋" w:eastAsia="仿宋"/>
          <w:bCs/>
        </w:rPr>
        <w:t>.57</w:t>
      </w:r>
      <w:r>
        <w:rPr>
          <w:rFonts w:hint="eastAsia" w:ascii="仿宋" w:hAnsi="仿宋" w:eastAsia="仿宋"/>
          <w:bCs/>
        </w:rPr>
        <w:t>万元、水费0</w:t>
      </w:r>
      <w:r>
        <w:rPr>
          <w:rFonts w:ascii="仿宋" w:hAnsi="仿宋" w:eastAsia="仿宋"/>
          <w:bCs/>
        </w:rPr>
        <w:t>.14</w:t>
      </w:r>
      <w:r>
        <w:rPr>
          <w:rFonts w:hint="eastAsia" w:ascii="仿宋" w:hAnsi="仿宋" w:eastAsia="仿宋"/>
          <w:bCs/>
        </w:rPr>
        <w:t>万元、物业管理费3</w:t>
      </w:r>
      <w:r>
        <w:rPr>
          <w:rFonts w:ascii="仿宋" w:hAnsi="仿宋" w:eastAsia="仿宋"/>
          <w:bCs/>
        </w:rPr>
        <w:t>.92</w:t>
      </w:r>
      <w:r>
        <w:rPr>
          <w:rFonts w:hint="eastAsia" w:ascii="仿宋" w:hAnsi="仿宋" w:eastAsia="仿宋"/>
          <w:bCs/>
        </w:rPr>
        <w:t>万元、维修维护费1</w:t>
      </w:r>
      <w:r>
        <w:rPr>
          <w:rFonts w:ascii="仿宋" w:hAnsi="仿宋" w:eastAsia="仿宋"/>
          <w:bCs/>
        </w:rPr>
        <w:t>.27</w:t>
      </w:r>
      <w:r>
        <w:rPr>
          <w:rFonts w:hint="eastAsia" w:ascii="仿宋" w:hAnsi="仿宋" w:eastAsia="仿宋"/>
          <w:bCs/>
        </w:rPr>
        <w:t>万元、办公室搬迁劳务费8</w:t>
      </w:r>
      <w:r>
        <w:rPr>
          <w:rFonts w:ascii="仿宋" w:hAnsi="仿宋" w:eastAsia="仿宋"/>
          <w:bCs/>
        </w:rPr>
        <w:t>.89</w:t>
      </w:r>
      <w:r>
        <w:rPr>
          <w:rFonts w:hint="eastAsia" w:ascii="仿宋" w:hAnsi="仿宋" w:eastAsia="仿宋"/>
          <w:bCs/>
        </w:rPr>
        <w:t>万元。上述经费超出</w:t>
      </w:r>
      <w:r>
        <w:rPr>
          <w:rFonts w:hint="eastAsia" w:ascii="仿宋" w:hAnsi="仿宋" w:eastAsia="仿宋"/>
        </w:rPr>
        <w:t>旅游发展专项资金列支范围。</w:t>
      </w:r>
    </w:p>
    <w:p>
      <w:pPr>
        <w:pStyle w:val="12"/>
        <w:adjustRightInd w:val="0"/>
        <w:snapToGrid w:val="0"/>
        <w:spacing w:before="0" w:beforeAutospacing="0" w:after="0" w:afterAutospacing="0" w:line="360" w:lineRule="auto"/>
        <w:ind w:firstLine="480"/>
        <w:rPr>
          <w:rFonts w:ascii="仿宋" w:hAnsi="仿宋" w:eastAsia="仿宋"/>
          <w:bCs/>
        </w:rPr>
      </w:pPr>
      <w:r>
        <w:rPr>
          <w:rFonts w:hint="eastAsia" w:ascii="仿宋" w:hAnsi="仿宋" w:eastAsia="仿宋"/>
          <w:bCs/>
        </w:rPr>
        <w:t>评价还发现，南温泉风景区管理处于</w:t>
      </w:r>
      <w:r>
        <w:rPr>
          <w:rFonts w:ascii="仿宋" w:hAnsi="仿宋" w:eastAsia="仿宋"/>
          <w:bCs/>
        </w:rPr>
        <w:t>2019</w:t>
      </w:r>
      <w:r>
        <w:rPr>
          <w:rFonts w:hint="eastAsia" w:ascii="仿宋" w:hAnsi="仿宋" w:eastAsia="仿宋"/>
          <w:bCs/>
        </w:rPr>
        <w:t>年</w:t>
      </w:r>
      <w:r>
        <w:rPr>
          <w:rFonts w:ascii="仿宋" w:hAnsi="仿宋" w:eastAsia="仿宋"/>
          <w:bCs/>
        </w:rPr>
        <w:t>10</w:t>
      </w:r>
      <w:r>
        <w:rPr>
          <w:rFonts w:hint="eastAsia" w:ascii="仿宋" w:hAnsi="仿宋" w:eastAsia="仿宋"/>
          <w:bCs/>
        </w:rPr>
        <w:t>于</w:t>
      </w:r>
      <w:r>
        <w:rPr>
          <w:rFonts w:ascii="仿宋" w:hAnsi="仿宋" w:eastAsia="仿宋"/>
          <w:bCs/>
        </w:rPr>
        <w:t>30</w:t>
      </w:r>
      <w:r>
        <w:rPr>
          <w:rFonts w:hint="eastAsia" w:ascii="仿宋" w:hAnsi="仿宋" w:eastAsia="仿宋"/>
          <w:bCs/>
        </w:rPr>
        <w:t>日向区文旅委提交《关于申请南温泉景区品质提升专项补助经费的请示》（南泉分管文〔</w:t>
      </w:r>
      <w:r>
        <w:rPr>
          <w:rFonts w:ascii="仿宋" w:hAnsi="仿宋" w:eastAsia="仿宋"/>
          <w:bCs/>
        </w:rPr>
        <w:t>2019</w:t>
      </w:r>
      <w:r>
        <w:rPr>
          <w:rFonts w:hint="eastAsia" w:ascii="仿宋" w:hAnsi="仿宋" w:eastAsia="仿宋"/>
          <w:bCs/>
        </w:rPr>
        <w:t>〕</w:t>
      </w:r>
      <w:r>
        <w:rPr>
          <w:rFonts w:ascii="仿宋" w:hAnsi="仿宋" w:eastAsia="仿宋"/>
          <w:bCs/>
        </w:rPr>
        <w:t>8</w:t>
      </w:r>
      <w:r>
        <w:rPr>
          <w:rFonts w:hint="eastAsia" w:ascii="仿宋" w:hAnsi="仿宋" w:eastAsia="仿宋"/>
          <w:bCs/>
        </w:rPr>
        <w:t>号），申请旅游发展专项资金</w:t>
      </w:r>
      <w:r>
        <w:rPr>
          <w:rFonts w:ascii="仿宋" w:hAnsi="仿宋" w:eastAsia="仿宋"/>
          <w:bCs/>
        </w:rPr>
        <w:t>60</w:t>
      </w:r>
      <w:r>
        <w:rPr>
          <w:rFonts w:hint="eastAsia" w:ascii="仿宋" w:hAnsi="仿宋" w:eastAsia="仿宋"/>
          <w:bCs/>
        </w:rPr>
        <w:t>万元，一是用于解放重庆主战场遗址周边环境整治</w:t>
      </w:r>
      <w:r>
        <w:rPr>
          <w:rFonts w:ascii="仿宋" w:hAnsi="仿宋" w:eastAsia="仿宋"/>
          <w:bCs/>
        </w:rPr>
        <w:t>35</w:t>
      </w:r>
      <w:r>
        <w:rPr>
          <w:rFonts w:hint="eastAsia" w:ascii="仿宋" w:hAnsi="仿宋" w:eastAsia="仿宋"/>
          <w:bCs/>
        </w:rPr>
        <w:t>万元，二是用于花滩桥南桥头绿地集中整治</w:t>
      </w:r>
      <w:r>
        <w:rPr>
          <w:rFonts w:ascii="仿宋" w:hAnsi="仿宋" w:eastAsia="仿宋"/>
          <w:bCs/>
        </w:rPr>
        <w:t>15</w:t>
      </w:r>
      <w:r>
        <w:rPr>
          <w:rFonts w:hint="eastAsia" w:ascii="仿宋" w:hAnsi="仿宋" w:eastAsia="仿宋"/>
          <w:bCs/>
        </w:rPr>
        <w:t>万元，三是用于景区视频监控系统</w:t>
      </w:r>
      <w:r>
        <w:rPr>
          <w:rFonts w:ascii="仿宋" w:hAnsi="仿宋" w:eastAsia="仿宋"/>
          <w:bCs/>
        </w:rPr>
        <w:t>10</w:t>
      </w:r>
      <w:r>
        <w:rPr>
          <w:rFonts w:hint="eastAsia" w:ascii="仿宋" w:hAnsi="仿宋" w:eastAsia="仿宋"/>
          <w:bCs/>
        </w:rPr>
        <w:t>万元。该事项经区文旅委请示区政府后获得批准。但根据南温泉风景区管理处提供的项目资料显示，上述资金实际用于解放重庆主战场遗址周边环境整治</w:t>
      </w:r>
      <w:r>
        <w:rPr>
          <w:rFonts w:ascii="仿宋" w:hAnsi="仿宋" w:eastAsia="仿宋"/>
          <w:bCs/>
        </w:rPr>
        <w:t>43.68</w:t>
      </w:r>
      <w:r>
        <w:rPr>
          <w:rFonts w:hint="eastAsia" w:ascii="仿宋" w:hAnsi="仿宋" w:eastAsia="仿宋"/>
          <w:bCs/>
        </w:rPr>
        <w:t>万元（计划内项目）、南温泉景区长南桥至炒油场路段景观栏杆修复</w:t>
      </w:r>
      <w:r>
        <w:rPr>
          <w:rFonts w:ascii="仿宋" w:hAnsi="仿宋" w:eastAsia="仿宋"/>
          <w:bCs/>
        </w:rPr>
        <w:t>17.39</w:t>
      </w:r>
      <w:r>
        <w:rPr>
          <w:rFonts w:hint="eastAsia" w:ascii="仿宋" w:hAnsi="仿宋" w:eastAsia="仿宋"/>
          <w:bCs/>
        </w:rPr>
        <w:t>万元（计划外项目）、景区视频监控系统</w:t>
      </w:r>
      <w:r>
        <w:rPr>
          <w:rFonts w:ascii="仿宋" w:hAnsi="仿宋" w:eastAsia="仿宋"/>
          <w:bCs/>
        </w:rPr>
        <w:t>1.14</w:t>
      </w:r>
      <w:r>
        <w:rPr>
          <w:rFonts w:hint="eastAsia" w:ascii="仿宋" w:hAnsi="仿宋" w:eastAsia="仿宋"/>
          <w:bCs/>
        </w:rPr>
        <w:t>万元（计划内项目），资金列支计划外项目且已超支使用，致使计划实施的花滩桥南桥头绿地集中整治项目出现资金缺口。据南温泉风景区管理处介绍，截止</w:t>
      </w:r>
      <w:r>
        <w:rPr>
          <w:rFonts w:ascii="仿宋" w:hAnsi="仿宋" w:eastAsia="仿宋"/>
          <w:bCs/>
        </w:rPr>
        <w:t>2020</w:t>
      </w:r>
      <w:r>
        <w:rPr>
          <w:rFonts w:hint="eastAsia" w:ascii="仿宋" w:hAnsi="仿宋" w:eastAsia="仿宋"/>
          <w:bCs/>
        </w:rPr>
        <w:t>年</w:t>
      </w:r>
      <w:r>
        <w:rPr>
          <w:rFonts w:ascii="仿宋" w:hAnsi="仿宋" w:eastAsia="仿宋"/>
          <w:bCs/>
        </w:rPr>
        <w:t>6</w:t>
      </w:r>
      <w:r>
        <w:rPr>
          <w:rFonts w:hint="eastAsia" w:ascii="仿宋" w:hAnsi="仿宋" w:eastAsia="仿宋"/>
          <w:bCs/>
        </w:rPr>
        <w:t>月</w:t>
      </w:r>
      <w:r>
        <w:rPr>
          <w:rFonts w:ascii="仿宋" w:hAnsi="仿宋" w:eastAsia="仿宋"/>
          <w:bCs/>
        </w:rPr>
        <w:t>30</w:t>
      </w:r>
      <w:r>
        <w:rPr>
          <w:rFonts w:hint="eastAsia" w:ascii="仿宋" w:hAnsi="仿宋" w:eastAsia="仿宋"/>
          <w:bCs/>
        </w:rPr>
        <w:t>日，花滩桥南桥头绿地集中整治项目仍在实施中，尚未完工也未支付款项。</w:t>
      </w:r>
    </w:p>
    <w:p>
      <w:pPr>
        <w:pStyle w:val="12"/>
        <w:adjustRightInd w:val="0"/>
        <w:snapToGrid w:val="0"/>
        <w:spacing w:before="0" w:beforeAutospacing="0" w:after="0" w:afterAutospacing="0" w:line="360" w:lineRule="auto"/>
        <w:ind w:firstLine="480"/>
        <w:rPr>
          <w:rFonts w:ascii="仿宋" w:hAnsi="仿宋" w:eastAsia="仿宋"/>
          <w:b/>
        </w:rPr>
      </w:pPr>
      <w:r>
        <w:rPr>
          <w:rFonts w:ascii="仿宋" w:hAnsi="仿宋" w:eastAsia="仿宋"/>
          <w:b/>
        </w:rPr>
        <w:t>3</w:t>
      </w:r>
      <w:r>
        <w:rPr>
          <w:rFonts w:hint="eastAsia" w:ascii="仿宋" w:hAnsi="仿宋" w:eastAsia="仿宋"/>
          <w:b/>
        </w:rPr>
        <w:t>、项目资金管理情况分析。</w:t>
      </w:r>
    </w:p>
    <w:p>
      <w:pPr>
        <w:pStyle w:val="12"/>
        <w:adjustRightInd w:val="0"/>
        <w:snapToGrid w:val="0"/>
        <w:spacing w:before="0" w:beforeAutospacing="0" w:after="0" w:afterAutospacing="0" w:line="360" w:lineRule="auto"/>
        <w:ind w:firstLine="480" w:firstLineChars="200"/>
        <w:rPr>
          <w:rFonts w:ascii="仿宋" w:hAnsi="仿宋" w:eastAsia="仿宋"/>
          <w:bCs/>
        </w:rPr>
      </w:pPr>
      <w:r>
        <w:rPr>
          <w:rFonts w:ascii="仿宋" w:hAnsi="仿宋" w:eastAsia="仿宋"/>
          <w:bCs/>
        </w:rPr>
        <w:t>2019</w:t>
      </w:r>
      <w:r>
        <w:rPr>
          <w:rFonts w:hint="eastAsia" w:ascii="仿宋" w:hAnsi="仿宋" w:eastAsia="仿宋"/>
          <w:bCs/>
        </w:rPr>
        <w:t>年巴南区旅游发展专项资金基本按照重庆市财政局、市旅发委制定的《重庆市旅游发展专项资金管理办法》管理使用。</w:t>
      </w:r>
    </w:p>
    <w:p>
      <w:pPr>
        <w:pStyle w:val="12"/>
        <w:adjustRightInd w:val="0"/>
        <w:snapToGrid w:val="0"/>
        <w:spacing w:before="0" w:beforeAutospacing="0" w:after="0" w:afterAutospacing="0" w:line="360" w:lineRule="auto"/>
        <w:ind w:firstLine="480" w:firstLineChars="200"/>
        <w:rPr>
          <w:rFonts w:ascii="仿宋" w:hAnsi="仿宋" w:eastAsia="仿宋"/>
          <w:bCs/>
        </w:rPr>
      </w:pPr>
      <w:r>
        <w:rPr>
          <w:rFonts w:hint="eastAsia" w:ascii="仿宋" w:hAnsi="仿宋" w:eastAsia="仿宋"/>
          <w:bCs/>
        </w:rPr>
        <w:t>评价对区文旅委、南温泉风管处、丰盛镇项目资金核算情况进行抽查了解。区文旅委对2</w:t>
      </w:r>
      <w:r>
        <w:rPr>
          <w:rFonts w:ascii="仿宋" w:hAnsi="仿宋" w:eastAsia="仿宋"/>
          <w:bCs/>
        </w:rPr>
        <w:t>019</w:t>
      </w:r>
      <w:r>
        <w:rPr>
          <w:rFonts w:hint="eastAsia" w:ascii="仿宋" w:hAnsi="仿宋" w:eastAsia="仿宋"/>
          <w:bCs/>
        </w:rPr>
        <w:t>年巴南区旅游发展专项资金按照实施的项目设立了项目辅助核算，丰盛镇对项目进行了明细核算，资金支付按照审批流程，资金使用情况较为清晰。南温泉风管处未对专项资金进行明细核算，项目资金使用情况不够清晰。</w:t>
      </w:r>
    </w:p>
    <w:p>
      <w:pPr>
        <w:pStyle w:val="12"/>
        <w:adjustRightInd w:val="0"/>
        <w:snapToGrid w:val="0"/>
        <w:spacing w:before="0" w:beforeAutospacing="0" w:after="0" w:afterAutospacing="0" w:line="360" w:lineRule="auto"/>
        <w:ind w:firstLine="482" w:firstLineChars="200"/>
        <w:rPr>
          <w:rFonts w:ascii="仿宋" w:hAnsi="仿宋" w:eastAsia="仿宋"/>
          <w:b/>
        </w:rPr>
      </w:pPr>
      <w:r>
        <w:rPr>
          <w:rFonts w:hint="eastAsia" w:ascii="仿宋" w:hAnsi="仿宋" w:eastAsia="仿宋"/>
          <w:b/>
        </w:rPr>
        <w:t>（三）项目实施情况分析。</w:t>
      </w:r>
    </w:p>
    <w:p>
      <w:pPr>
        <w:pStyle w:val="12"/>
        <w:adjustRightInd w:val="0"/>
        <w:snapToGrid w:val="0"/>
        <w:spacing w:before="0" w:beforeAutospacing="0" w:after="0" w:afterAutospacing="0" w:line="360" w:lineRule="auto"/>
        <w:ind w:firstLine="482" w:firstLineChars="200"/>
        <w:rPr>
          <w:rFonts w:ascii="仿宋" w:hAnsi="仿宋" w:eastAsia="仿宋"/>
          <w:b/>
        </w:rPr>
      </w:pPr>
      <w:r>
        <w:rPr>
          <w:rFonts w:ascii="仿宋" w:hAnsi="仿宋" w:eastAsia="仿宋"/>
          <w:b/>
        </w:rPr>
        <w:t>1</w:t>
      </w:r>
      <w:r>
        <w:rPr>
          <w:rFonts w:hint="eastAsia" w:ascii="仿宋" w:hAnsi="仿宋" w:eastAsia="仿宋"/>
          <w:b/>
        </w:rPr>
        <w:t>、项目组织情况分析。</w:t>
      </w:r>
    </w:p>
    <w:p>
      <w:pPr>
        <w:pStyle w:val="12"/>
        <w:adjustRightInd w:val="0"/>
        <w:snapToGrid w:val="0"/>
        <w:spacing w:before="0" w:beforeAutospacing="0" w:after="0" w:afterAutospacing="0" w:line="360" w:lineRule="auto"/>
        <w:ind w:firstLine="480" w:firstLineChars="200"/>
        <w:rPr>
          <w:rFonts w:ascii="仿宋" w:hAnsi="仿宋" w:eastAsia="仿宋"/>
          <w:bCs/>
        </w:rPr>
      </w:pPr>
      <w:r>
        <w:rPr>
          <w:rFonts w:hint="eastAsia" w:ascii="仿宋" w:hAnsi="仿宋" w:eastAsia="仿宋"/>
          <w:bCs/>
        </w:rPr>
        <w:t>巴南区为加快全域旅游发展，建立区级、镇街党委政府主要负责人挂帅的全域旅游发展组织领导机制，强化统筹协调，制定发展规划，落实发展任务。全区各部门树立“旅游发展、人人有责”的思想，合力推进全域旅游发展。</w:t>
      </w:r>
    </w:p>
    <w:p>
      <w:pPr>
        <w:pStyle w:val="12"/>
        <w:adjustRightInd w:val="0"/>
        <w:snapToGrid w:val="0"/>
        <w:spacing w:before="0" w:beforeAutospacing="0" w:after="0" w:afterAutospacing="0" w:line="360" w:lineRule="auto"/>
        <w:ind w:firstLine="480" w:firstLineChars="200"/>
        <w:rPr>
          <w:rFonts w:ascii="仿宋" w:hAnsi="仿宋" w:eastAsia="仿宋"/>
          <w:bCs/>
        </w:rPr>
      </w:pPr>
      <w:r>
        <w:rPr>
          <w:rFonts w:hint="eastAsia" w:ascii="仿宋" w:hAnsi="仿宋" w:eastAsia="仿宋"/>
          <w:bCs/>
        </w:rPr>
        <w:t>巴南区文旅委内设办公室、公共服务科、产业发展科、资源开发科、市场管理科、宣传营销科六个科室，各科室各司其职，分工协作。</w:t>
      </w:r>
    </w:p>
    <w:p>
      <w:pPr>
        <w:pStyle w:val="12"/>
        <w:adjustRightInd w:val="0"/>
        <w:snapToGrid w:val="0"/>
        <w:spacing w:before="0" w:beforeAutospacing="0" w:after="0" w:afterAutospacing="0" w:line="360" w:lineRule="auto"/>
        <w:ind w:firstLine="480" w:firstLineChars="200"/>
        <w:rPr>
          <w:rFonts w:ascii="仿宋" w:hAnsi="仿宋" w:eastAsia="仿宋"/>
          <w:bCs/>
        </w:rPr>
      </w:pPr>
      <w:r>
        <w:rPr>
          <w:rFonts w:hint="eastAsia" w:ascii="仿宋" w:hAnsi="仿宋" w:eastAsia="仿宋"/>
          <w:bCs/>
        </w:rPr>
        <w:t>各镇街在区文旅委的牵头下，结合本地实际，制定项目实施方案，对相关项目进行实施，有力有序有效推进全域旅游发展。</w:t>
      </w:r>
    </w:p>
    <w:p>
      <w:pPr>
        <w:pStyle w:val="12"/>
        <w:adjustRightInd w:val="0"/>
        <w:snapToGrid w:val="0"/>
        <w:spacing w:before="0" w:beforeAutospacing="0" w:after="0" w:afterAutospacing="0" w:line="360" w:lineRule="auto"/>
        <w:ind w:firstLine="482" w:firstLineChars="200"/>
        <w:rPr>
          <w:rFonts w:ascii="仿宋" w:hAnsi="仿宋" w:eastAsia="仿宋"/>
          <w:b/>
        </w:rPr>
      </w:pPr>
      <w:r>
        <w:rPr>
          <w:rFonts w:ascii="仿宋" w:hAnsi="仿宋" w:eastAsia="仿宋"/>
          <w:b/>
        </w:rPr>
        <w:t>2</w:t>
      </w:r>
      <w:r>
        <w:rPr>
          <w:rFonts w:hint="eastAsia" w:ascii="仿宋" w:hAnsi="仿宋" w:eastAsia="仿宋"/>
          <w:b/>
        </w:rPr>
        <w:t>、项目管理情况分析。</w:t>
      </w:r>
    </w:p>
    <w:p>
      <w:pPr>
        <w:pStyle w:val="12"/>
        <w:adjustRightInd w:val="0"/>
        <w:snapToGrid w:val="0"/>
        <w:spacing w:before="0" w:beforeAutospacing="0" w:after="0" w:afterAutospacing="0" w:line="360" w:lineRule="auto"/>
        <w:ind w:firstLine="480" w:firstLineChars="200"/>
        <w:rPr>
          <w:rFonts w:ascii="仿宋" w:hAnsi="仿宋" w:eastAsia="仿宋"/>
          <w:bCs/>
        </w:rPr>
      </w:pPr>
      <w:r>
        <w:rPr>
          <w:rFonts w:hint="eastAsia" w:ascii="仿宋" w:hAnsi="仿宋" w:eastAsia="仿宋"/>
          <w:bCs/>
        </w:rPr>
        <w:t>各实施单位按资金分配计划和具体项目方案要求，开展相关工作，具体事项按既有制度规定结合自身内部控制制度执行，未再专门制定相关业务管理制度。</w:t>
      </w:r>
    </w:p>
    <w:p>
      <w:pPr>
        <w:pStyle w:val="12"/>
        <w:adjustRightInd w:val="0"/>
        <w:snapToGrid w:val="0"/>
        <w:spacing w:before="0" w:beforeAutospacing="0" w:after="0" w:afterAutospacing="0" w:line="360" w:lineRule="auto"/>
        <w:ind w:firstLine="480" w:firstLineChars="200"/>
        <w:rPr>
          <w:rFonts w:ascii="仿宋" w:hAnsi="仿宋" w:eastAsia="仿宋"/>
          <w:bCs/>
        </w:rPr>
      </w:pPr>
      <w:r>
        <w:rPr>
          <w:rFonts w:hint="eastAsia" w:ascii="仿宋" w:hAnsi="仿宋" w:eastAsia="仿宋"/>
          <w:bCs/>
        </w:rPr>
        <w:t>但评价发现，</w:t>
      </w:r>
      <w:r>
        <w:rPr>
          <w:rFonts w:hint="eastAsia" w:ascii="仿宋" w:hAnsi="仿宋" w:eastAsia="仿宋"/>
        </w:rPr>
        <w:t>切块资金安排的项目由各镇街</w:t>
      </w:r>
      <w:r>
        <w:rPr>
          <w:rFonts w:ascii="仿宋" w:hAnsi="仿宋" w:eastAsia="仿宋"/>
        </w:rPr>
        <w:t>/</w:t>
      </w:r>
      <w:r>
        <w:rPr>
          <w:rFonts w:hint="eastAsia" w:ascii="仿宋" w:hAnsi="仿宋" w:eastAsia="仿宋"/>
        </w:rPr>
        <w:t>单位自行实施并管理，区级层面缺乏对项目实施内容、实施进度以及资金使用情况的监督管理，也未对切块资金相关项目进行区级抽查或验收。上述情况表明对切块资金项目监督管理还相对薄弱。</w:t>
      </w:r>
    </w:p>
    <w:p>
      <w:pPr>
        <w:pStyle w:val="12"/>
        <w:adjustRightInd w:val="0"/>
        <w:snapToGrid w:val="0"/>
        <w:spacing w:before="0" w:beforeAutospacing="0" w:after="0" w:afterAutospacing="0" w:line="360" w:lineRule="auto"/>
        <w:ind w:firstLine="482" w:firstLineChars="200"/>
        <w:rPr>
          <w:rFonts w:ascii="仿宋" w:hAnsi="仿宋" w:eastAsia="仿宋"/>
          <w:b/>
        </w:rPr>
      </w:pPr>
      <w:r>
        <w:rPr>
          <w:rFonts w:hint="eastAsia" w:ascii="仿宋" w:hAnsi="仿宋" w:eastAsia="仿宋"/>
          <w:b/>
        </w:rPr>
        <w:t>（四）项目绩效情况分析。</w:t>
      </w:r>
    </w:p>
    <w:p>
      <w:pPr>
        <w:pStyle w:val="12"/>
        <w:adjustRightInd w:val="0"/>
        <w:snapToGrid w:val="0"/>
        <w:spacing w:before="0" w:beforeAutospacing="0" w:after="0" w:afterAutospacing="0" w:line="360" w:lineRule="auto"/>
        <w:ind w:firstLine="482" w:firstLineChars="200"/>
        <w:rPr>
          <w:rFonts w:ascii="仿宋" w:hAnsi="仿宋" w:eastAsia="仿宋"/>
          <w:b/>
        </w:rPr>
      </w:pPr>
      <w:r>
        <w:rPr>
          <w:rFonts w:ascii="仿宋" w:hAnsi="仿宋" w:eastAsia="仿宋"/>
          <w:b/>
        </w:rPr>
        <w:t>1</w:t>
      </w:r>
      <w:r>
        <w:rPr>
          <w:rFonts w:hint="eastAsia" w:ascii="仿宋" w:hAnsi="仿宋" w:eastAsia="仿宋"/>
          <w:b/>
        </w:rPr>
        <w:t>、项目经济性分析。</w:t>
      </w:r>
    </w:p>
    <w:p>
      <w:pPr>
        <w:pStyle w:val="12"/>
        <w:adjustRightInd w:val="0"/>
        <w:snapToGrid w:val="0"/>
        <w:spacing w:before="0" w:beforeAutospacing="0" w:after="0" w:afterAutospacing="0" w:line="360" w:lineRule="auto"/>
        <w:ind w:firstLine="482" w:firstLineChars="200"/>
        <w:rPr>
          <w:rFonts w:ascii="仿宋" w:hAnsi="仿宋" w:eastAsia="仿宋"/>
          <w:b/>
        </w:rPr>
      </w:pPr>
      <w:r>
        <w:rPr>
          <w:rFonts w:hint="eastAsia" w:ascii="仿宋" w:hAnsi="仿宋" w:eastAsia="仿宋"/>
          <w:b/>
        </w:rPr>
        <w:t>（</w:t>
      </w:r>
      <w:r>
        <w:rPr>
          <w:rFonts w:ascii="仿宋" w:hAnsi="仿宋" w:eastAsia="仿宋"/>
          <w:b/>
        </w:rPr>
        <w:t>1</w:t>
      </w:r>
      <w:r>
        <w:rPr>
          <w:rFonts w:hint="eastAsia" w:ascii="仿宋" w:hAnsi="仿宋" w:eastAsia="仿宋"/>
          <w:b/>
        </w:rPr>
        <w:t>）项目成本（预算）控制情况。</w:t>
      </w:r>
    </w:p>
    <w:p>
      <w:pPr>
        <w:pStyle w:val="12"/>
        <w:adjustRightInd w:val="0"/>
        <w:snapToGrid w:val="0"/>
        <w:spacing w:before="0" w:beforeAutospacing="0" w:after="0" w:afterAutospacing="0" w:line="360" w:lineRule="auto"/>
        <w:ind w:firstLine="480" w:firstLineChars="200"/>
        <w:rPr>
          <w:rFonts w:ascii="仿宋" w:hAnsi="仿宋" w:eastAsia="仿宋"/>
          <w:bCs/>
        </w:rPr>
      </w:pPr>
      <w:r>
        <w:rPr>
          <w:rFonts w:hint="eastAsia" w:ascii="仿宋" w:hAnsi="仿宋" w:eastAsia="仿宋"/>
          <w:bCs/>
        </w:rPr>
        <w:t>项目基本按制度要求，执行相关采购程序，并在实施完成后进行验收和结算工作，以此对项目成本进行控制。</w:t>
      </w:r>
    </w:p>
    <w:p>
      <w:pPr>
        <w:pStyle w:val="12"/>
        <w:adjustRightInd w:val="0"/>
        <w:snapToGrid w:val="0"/>
        <w:spacing w:before="0" w:beforeAutospacing="0" w:after="0" w:afterAutospacing="0" w:line="360" w:lineRule="auto"/>
        <w:ind w:firstLine="482" w:firstLineChars="200"/>
        <w:rPr>
          <w:rFonts w:ascii="仿宋" w:hAnsi="仿宋" w:eastAsia="仿宋"/>
          <w:b/>
        </w:rPr>
      </w:pPr>
      <w:r>
        <w:rPr>
          <w:rFonts w:hint="eastAsia" w:ascii="仿宋" w:hAnsi="仿宋" w:eastAsia="仿宋"/>
          <w:b/>
        </w:rPr>
        <w:t>（</w:t>
      </w:r>
      <w:r>
        <w:rPr>
          <w:rFonts w:ascii="仿宋" w:hAnsi="仿宋" w:eastAsia="仿宋"/>
          <w:b/>
        </w:rPr>
        <w:t>2</w:t>
      </w:r>
      <w:r>
        <w:rPr>
          <w:rFonts w:hint="eastAsia" w:ascii="仿宋" w:hAnsi="仿宋" w:eastAsia="仿宋"/>
          <w:b/>
        </w:rPr>
        <w:t>）项目成本（预算）节约情况。</w:t>
      </w:r>
    </w:p>
    <w:p>
      <w:pPr>
        <w:pStyle w:val="12"/>
        <w:adjustRightInd w:val="0"/>
        <w:snapToGrid w:val="0"/>
        <w:spacing w:before="0" w:beforeAutospacing="0" w:after="0" w:afterAutospacing="0" w:line="360" w:lineRule="auto"/>
        <w:ind w:firstLine="480" w:firstLineChars="200"/>
        <w:rPr>
          <w:rFonts w:ascii="仿宋" w:hAnsi="仿宋" w:eastAsia="仿宋"/>
          <w:bCs/>
        </w:rPr>
      </w:pPr>
      <w:r>
        <w:rPr>
          <w:rFonts w:ascii="仿宋" w:hAnsi="仿宋" w:eastAsia="仿宋"/>
          <w:bCs/>
        </w:rPr>
        <w:t>2019</w:t>
      </w:r>
      <w:r>
        <w:rPr>
          <w:rFonts w:hint="eastAsia" w:ascii="仿宋" w:hAnsi="仿宋" w:eastAsia="仿宋"/>
          <w:bCs/>
        </w:rPr>
        <w:t>年巴南区旅游发展专项资金预算金额1</w:t>
      </w:r>
      <w:r>
        <w:rPr>
          <w:rFonts w:ascii="仿宋" w:hAnsi="仿宋" w:eastAsia="仿宋"/>
          <w:bCs/>
        </w:rPr>
        <w:t>500</w:t>
      </w:r>
      <w:r>
        <w:rPr>
          <w:rFonts w:hint="eastAsia" w:ascii="仿宋" w:hAnsi="仿宋" w:eastAsia="仿宋"/>
          <w:bCs/>
        </w:rPr>
        <w:t>万元，截止2</w:t>
      </w:r>
      <w:r>
        <w:rPr>
          <w:rFonts w:ascii="仿宋" w:hAnsi="仿宋" w:eastAsia="仿宋"/>
          <w:bCs/>
        </w:rPr>
        <w:t>019</w:t>
      </w:r>
      <w:r>
        <w:rPr>
          <w:rFonts w:hint="eastAsia" w:ascii="仿宋" w:hAnsi="仿宋" w:eastAsia="仿宋"/>
          <w:bCs/>
        </w:rPr>
        <w:t>年1</w:t>
      </w:r>
      <w:r>
        <w:rPr>
          <w:rFonts w:ascii="仿宋" w:hAnsi="仿宋" w:eastAsia="仿宋"/>
          <w:bCs/>
        </w:rPr>
        <w:t>2</w:t>
      </w:r>
      <w:r>
        <w:rPr>
          <w:rFonts w:hint="eastAsia" w:ascii="仿宋" w:hAnsi="仿宋" w:eastAsia="仿宋"/>
          <w:bCs/>
        </w:rPr>
        <w:t>月3</w:t>
      </w:r>
      <w:r>
        <w:rPr>
          <w:rFonts w:ascii="仿宋" w:hAnsi="仿宋" w:eastAsia="仿宋"/>
          <w:bCs/>
        </w:rPr>
        <w:t>1</w:t>
      </w:r>
      <w:r>
        <w:rPr>
          <w:rFonts w:hint="eastAsia" w:ascii="仿宋" w:hAnsi="仿宋" w:eastAsia="仿宋"/>
          <w:bCs/>
        </w:rPr>
        <w:t>日，项目成本1</w:t>
      </w:r>
      <w:r>
        <w:rPr>
          <w:rFonts w:ascii="仿宋" w:hAnsi="仿宋" w:eastAsia="仿宋"/>
          <w:bCs/>
        </w:rPr>
        <w:t>335.03</w:t>
      </w:r>
      <w:r>
        <w:rPr>
          <w:rFonts w:hint="eastAsia" w:ascii="仿宋" w:hAnsi="仿宋" w:eastAsia="仿宋"/>
          <w:bCs/>
        </w:rPr>
        <w:t>万元，结余资金1</w:t>
      </w:r>
      <w:r>
        <w:rPr>
          <w:rFonts w:ascii="仿宋" w:hAnsi="仿宋" w:eastAsia="仿宋"/>
          <w:bCs/>
        </w:rPr>
        <w:t>64.97</w:t>
      </w:r>
      <w:r>
        <w:rPr>
          <w:rFonts w:hint="eastAsia" w:ascii="仿宋" w:hAnsi="仿宋" w:eastAsia="仿宋"/>
          <w:bCs/>
        </w:rPr>
        <w:t>万元，其中区文旅委结余资金1</w:t>
      </w:r>
      <w:r>
        <w:rPr>
          <w:rFonts w:ascii="仿宋" w:hAnsi="仿宋" w:eastAsia="仿宋"/>
          <w:bCs/>
        </w:rPr>
        <w:t>21.43</w:t>
      </w:r>
      <w:r>
        <w:rPr>
          <w:rFonts w:hint="eastAsia" w:ascii="仿宋" w:hAnsi="仿宋" w:eastAsia="仿宋"/>
          <w:bCs/>
        </w:rPr>
        <w:t>万元、南泉镇街不再实施的项目结余资金1</w:t>
      </w:r>
      <w:r>
        <w:rPr>
          <w:rFonts w:ascii="仿宋" w:hAnsi="仿宋" w:eastAsia="仿宋"/>
          <w:bCs/>
        </w:rPr>
        <w:t>0</w:t>
      </w:r>
      <w:r>
        <w:rPr>
          <w:rFonts w:hint="eastAsia" w:ascii="仿宋" w:hAnsi="仿宋" w:eastAsia="仿宋"/>
          <w:bCs/>
        </w:rPr>
        <w:t>万元，已退回财政。丰盛镇结余资金3</w:t>
      </w:r>
      <w:r>
        <w:rPr>
          <w:rFonts w:ascii="仿宋" w:hAnsi="仿宋" w:eastAsia="仿宋"/>
          <w:bCs/>
        </w:rPr>
        <w:t>3.54</w:t>
      </w:r>
      <w:r>
        <w:rPr>
          <w:rFonts w:hint="eastAsia" w:ascii="仿宋" w:hAnsi="仿宋" w:eastAsia="仿宋"/>
          <w:bCs/>
        </w:rPr>
        <w:t>万元，项目尚未进行结算，结余金额暂以合同价进行计算确定，实际以结算金额计算为准。</w:t>
      </w:r>
    </w:p>
    <w:p>
      <w:pPr>
        <w:pStyle w:val="12"/>
        <w:adjustRightInd w:val="0"/>
        <w:snapToGrid w:val="0"/>
        <w:spacing w:before="0" w:beforeAutospacing="0" w:after="0" w:afterAutospacing="0" w:line="360" w:lineRule="auto"/>
        <w:ind w:firstLine="482" w:firstLineChars="200"/>
        <w:rPr>
          <w:rFonts w:ascii="仿宋" w:hAnsi="仿宋" w:eastAsia="仿宋"/>
          <w:b/>
        </w:rPr>
      </w:pPr>
      <w:r>
        <w:rPr>
          <w:rFonts w:ascii="仿宋" w:hAnsi="仿宋" w:eastAsia="仿宋"/>
          <w:b/>
        </w:rPr>
        <w:t>2</w:t>
      </w:r>
      <w:r>
        <w:rPr>
          <w:rFonts w:hint="eastAsia" w:ascii="仿宋" w:hAnsi="仿宋" w:eastAsia="仿宋"/>
          <w:b/>
        </w:rPr>
        <w:t>、项目的效率性分析</w:t>
      </w:r>
    </w:p>
    <w:p>
      <w:pPr>
        <w:pStyle w:val="12"/>
        <w:adjustRightInd w:val="0"/>
        <w:snapToGrid w:val="0"/>
        <w:spacing w:before="0" w:beforeAutospacing="0" w:after="0" w:afterAutospacing="0" w:line="360" w:lineRule="auto"/>
        <w:ind w:firstLine="482" w:firstLineChars="200"/>
        <w:rPr>
          <w:rFonts w:ascii="仿宋" w:hAnsi="仿宋" w:eastAsia="仿宋"/>
          <w:b/>
        </w:rPr>
      </w:pPr>
      <w:r>
        <w:rPr>
          <w:rFonts w:hint="eastAsia" w:ascii="仿宋" w:hAnsi="仿宋" w:eastAsia="仿宋"/>
          <w:b/>
        </w:rPr>
        <w:t>（</w:t>
      </w:r>
      <w:r>
        <w:rPr>
          <w:rFonts w:ascii="仿宋" w:hAnsi="仿宋" w:eastAsia="仿宋"/>
          <w:b/>
        </w:rPr>
        <w:t>1</w:t>
      </w:r>
      <w:r>
        <w:rPr>
          <w:rFonts w:hint="eastAsia" w:ascii="仿宋" w:hAnsi="仿宋" w:eastAsia="仿宋"/>
          <w:b/>
        </w:rPr>
        <w:t>）项目实施进度。</w:t>
      </w:r>
    </w:p>
    <w:p>
      <w:pPr>
        <w:pStyle w:val="12"/>
        <w:adjustRightInd w:val="0"/>
        <w:snapToGrid w:val="0"/>
        <w:spacing w:before="0" w:beforeAutospacing="0" w:after="0" w:afterAutospacing="0" w:line="360" w:lineRule="auto"/>
        <w:ind w:firstLine="480" w:firstLineChars="200"/>
        <w:rPr>
          <w:rFonts w:ascii="仿宋" w:hAnsi="仿宋" w:eastAsia="仿宋"/>
          <w:bCs/>
        </w:rPr>
      </w:pPr>
      <w:r>
        <w:rPr>
          <w:rFonts w:ascii="仿宋" w:hAnsi="仿宋" w:eastAsia="仿宋"/>
          <w:bCs/>
        </w:rPr>
        <w:t>2019</w:t>
      </w:r>
      <w:r>
        <w:rPr>
          <w:rFonts w:hint="eastAsia" w:ascii="仿宋" w:hAnsi="仿宋" w:eastAsia="仿宋"/>
          <w:bCs/>
        </w:rPr>
        <w:t>年巴南区旅游发展专项资金所涉及的相关事务整体基本按计划时间节点完成。但评价发现有部分项目整体实施进度较慢。如：1、全域旅游策划工作列入</w:t>
      </w:r>
      <w:r>
        <w:rPr>
          <w:rFonts w:ascii="仿宋" w:hAnsi="仿宋" w:eastAsia="仿宋"/>
          <w:bCs/>
        </w:rPr>
        <w:t>2019</w:t>
      </w:r>
      <w:r>
        <w:rPr>
          <w:rFonts w:hint="eastAsia" w:ascii="仿宋" w:hAnsi="仿宋" w:eastAsia="仿宋"/>
          <w:bCs/>
        </w:rPr>
        <w:t>年旅游专项资金项目，但该项目于</w:t>
      </w:r>
      <w:r>
        <w:rPr>
          <w:rFonts w:ascii="仿宋" w:hAnsi="仿宋" w:eastAsia="仿宋"/>
          <w:bCs/>
        </w:rPr>
        <w:t>2019</w:t>
      </w:r>
      <w:r>
        <w:rPr>
          <w:rFonts w:hint="eastAsia" w:ascii="仿宋" w:hAnsi="仿宋" w:eastAsia="仿宋"/>
          <w:bCs/>
        </w:rPr>
        <w:t>年</w:t>
      </w:r>
      <w:r>
        <w:rPr>
          <w:rFonts w:ascii="仿宋" w:hAnsi="仿宋" w:eastAsia="仿宋"/>
          <w:bCs/>
        </w:rPr>
        <w:t>12</w:t>
      </w:r>
      <w:r>
        <w:rPr>
          <w:rFonts w:hint="eastAsia" w:ascii="仿宋" w:hAnsi="仿宋" w:eastAsia="仿宋"/>
          <w:bCs/>
        </w:rPr>
        <w:t>月才完成政府采购并签订合同，截止</w:t>
      </w:r>
      <w:r>
        <w:rPr>
          <w:rFonts w:ascii="仿宋" w:hAnsi="仿宋" w:eastAsia="仿宋"/>
          <w:bCs/>
        </w:rPr>
        <w:t>2020</w:t>
      </w:r>
      <w:r>
        <w:rPr>
          <w:rFonts w:hint="eastAsia" w:ascii="仿宋" w:hAnsi="仿宋" w:eastAsia="仿宋"/>
          <w:bCs/>
        </w:rPr>
        <w:t>年</w:t>
      </w:r>
      <w:r>
        <w:rPr>
          <w:rFonts w:ascii="仿宋" w:hAnsi="仿宋" w:eastAsia="仿宋"/>
          <w:bCs/>
        </w:rPr>
        <w:t>6</w:t>
      </w:r>
      <w:r>
        <w:rPr>
          <w:rFonts w:hint="eastAsia" w:ascii="仿宋" w:hAnsi="仿宋" w:eastAsia="仿宋"/>
          <w:bCs/>
        </w:rPr>
        <w:t>月</w:t>
      </w:r>
      <w:r>
        <w:rPr>
          <w:rFonts w:ascii="仿宋" w:hAnsi="仿宋" w:eastAsia="仿宋"/>
          <w:bCs/>
        </w:rPr>
        <w:t>30</w:t>
      </w:r>
      <w:r>
        <w:rPr>
          <w:rFonts w:hint="eastAsia" w:ascii="仿宋" w:hAnsi="仿宋" w:eastAsia="仿宋"/>
          <w:bCs/>
        </w:rPr>
        <w:t>日，仅提交了第一阶段的成果。2、丰盛镇实施的丰盛古镇通景公路沿线及核心景区导视导览提升工程，于</w:t>
      </w:r>
      <w:r>
        <w:rPr>
          <w:rFonts w:ascii="仿宋" w:hAnsi="仿宋" w:eastAsia="仿宋"/>
          <w:bCs/>
        </w:rPr>
        <w:t>2019</w:t>
      </w:r>
      <w:r>
        <w:rPr>
          <w:rFonts w:hint="eastAsia" w:ascii="仿宋" w:hAnsi="仿宋" w:eastAsia="仿宋"/>
          <w:bCs/>
        </w:rPr>
        <w:t>年</w:t>
      </w:r>
      <w:r>
        <w:rPr>
          <w:rFonts w:ascii="仿宋" w:hAnsi="仿宋" w:eastAsia="仿宋"/>
          <w:bCs/>
        </w:rPr>
        <w:t>1</w:t>
      </w:r>
      <w:r>
        <w:rPr>
          <w:rFonts w:hint="eastAsia" w:ascii="仿宋" w:hAnsi="仿宋" w:eastAsia="仿宋"/>
          <w:bCs/>
        </w:rPr>
        <w:t>月开始设计，但项目于</w:t>
      </w:r>
      <w:r>
        <w:rPr>
          <w:rFonts w:ascii="仿宋" w:hAnsi="仿宋" w:eastAsia="仿宋"/>
          <w:bCs/>
        </w:rPr>
        <w:t>2020</w:t>
      </w:r>
      <w:r>
        <w:rPr>
          <w:rFonts w:hint="eastAsia" w:ascii="仿宋" w:hAnsi="仿宋" w:eastAsia="仿宋"/>
          <w:bCs/>
        </w:rPr>
        <w:t>年</w:t>
      </w:r>
      <w:r>
        <w:rPr>
          <w:rFonts w:ascii="仿宋" w:hAnsi="仿宋" w:eastAsia="仿宋"/>
          <w:bCs/>
        </w:rPr>
        <w:t>6</w:t>
      </w:r>
      <w:r>
        <w:rPr>
          <w:rFonts w:hint="eastAsia" w:ascii="仿宋" w:hAnsi="仿宋" w:eastAsia="仿宋"/>
          <w:bCs/>
        </w:rPr>
        <w:t>月</w:t>
      </w:r>
      <w:r>
        <w:rPr>
          <w:rFonts w:ascii="仿宋" w:hAnsi="仿宋" w:eastAsia="仿宋"/>
          <w:bCs/>
        </w:rPr>
        <w:t>20</w:t>
      </w:r>
      <w:r>
        <w:rPr>
          <w:rFonts w:hint="eastAsia" w:ascii="仿宋" w:hAnsi="仿宋" w:eastAsia="仿宋"/>
          <w:bCs/>
        </w:rPr>
        <w:t>日才完成施工，目前项目验收及结算工作尚未开展。3、南温泉风景区管理处实施的花滩桥南桥头绿地集中整治项目，截止</w:t>
      </w:r>
      <w:r>
        <w:rPr>
          <w:rFonts w:ascii="仿宋" w:hAnsi="仿宋" w:eastAsia="仿宋"/>
          <w:bCs/>
        </w:rPr>
        <w:t>2020</w:t>
      </w:r>
      <w:r>
        <w:rPr>
          <w:rFonts w:hint="eastAsia" w:ascii="仿宋" w:hAnsi="仿宋" w:eastAsia="仿宋"/>
          <w:bCs/>
        </w:rPr>
        <w:t>年</w:t>
      </w:r>
      <w:r>
        <w:rPr>
          <w:rFonts w:ascii="仿宋" w:hAnsi="仿宋" w:eastAsia="仿宋"/>
          <w:bCs/>
        </w:rPr>
        <w:t>6</w:t>
      </w:r>
      <w:r>
        <w:rPr>
          <w:rFonts w:hint="eastAsia" w:ascii="仿宋" w:hAnsi="仿宋" w:eastAsia="仿宋"/>
          <w:bCs/>
        </w:rPr>
        <w:t>月</w:t>
      </w:r>
      <w:r>
        <w:rPr>
          <w:rFonts w:ascii="仿宋" w:hAnsi="仿宋" w:eastAsia="仿宋"/>
          <w:bCs/>
        </w:rPr>
        <w:t>30</w:t>
      </w:r>
      <w:r>
        <w:rPr>
          <w:rFonts w:hint="eastAsia" w:ascii="仿宋" w:hAnsi="仿宋" w:eastAsia="仿宋"/>
          <w:bCs/>
        </w:rPr>
        <w:t>日项目尚未完工。</w:t>
      </w:r>
    </w:p>
    <w:p>
      <w:pPr>
        <w:pStyle w:val="12"/>
        <w:adjustRightInd w:val="0"/>
        <w:snapToGrid w:val="0"/>
        <w:spacing w:before="0" w:beforeAutospacing="0" w:after="0" w:afterAutospacing="0" w:line="360" w:lineRule="auto"/>
        <w:ind w:firstLine="480" w:firstLineChars="200"/>
        <w:rPr>
          <w:rFonts w:ascii="仿宋" w:hAnsi="仿宋" w:eastAsia="仿宋"/>
          <w:bCs/>
        </w:rPr>
      </w:pPr>
      <w:r>
        <w:rPr>
          <w:rFonts w:hint="eastAsia" w:ascii="仿宋" w:hAnsi="仿宋" w:eastAsia="仿宋"/>
          <w:bCs/>
        </w:rPr>
        <w:t>具体详见本报告“四、存在问题及改进建议</w:t>
      </w:r>
      <w:r>
        <w:rPr>
          <w:rFonts w:ascii="仿宋" w:hAnsi="仿宋" w:eastAsia="仿宋"/>
          <w:bCs/>
        </w:rPr>
        <w:t>3</w:t>
      </w:r>
      <w:r>
        <w:rPr>
          <w:rFonts w:hint="eastAsia" w:ascii="仿宋" w:hAnsi="仿宋" w:eastAsia="仿宋"/>
          <w:bCs/>
        </w:rPr>
        <w:t>、项目整体实施进度较慢”。</w:t>
      </w:r>
    </w:p>
    <w:p>
      <w:pPr>
        <w:pStyle w:val="12"/>
        <w:adjustRightInd w:val="0"/>
        <w:snapToGrid w:val="0"/>
        <w:spacing w:before="0" w:beforeAutospacing="0" w:after="0" w:afterAutospacing="0" w:line="360" w:lineRule="auto"/>
        <w:ind w:firstLine="482" w:firstLineChars="200"/>
        <w:rPr>
          <w:rFonts w:ascii="仿宋" w:hAnsi="仿宋" w:eastAsia="仿宋"/>
          <w:b/>
        </w:rPr>
      </w:pPr>
      <w:r>
        <w:rPr>
          <w:rFonts w:hint="eastAsia" w:ascii="仿宋" w:hAnsi="仿宋" w:eastAsia="仿宋"/>
          <w:b/>
        </w:rPr>
        <w:t>（</w:t>
      </w:r>
      <w:r>
        <w:rPr>
          <w:rFonts w:ascii="仿宋" w:hAnsi="仿宋" w:eastAsia="仿宋"/>
          <w:b/>
        </w:rPr>
        <w:t>2</w:t>
      </w:r>
      <w:r>
        <w:rPr>
          <w:rFonts w:hint="eastAsia" w:ascii="仿宋" w:hAnsi="仿宋" w:eastAsia="仿宋"/>
          <w:b/>
        </w:rPr>
        <w:t>）项目完成质量。</w:t>
      </w:r>
    </w:p>
    <w:p>
      <w:pPr>
        <w:pStyle w:val="12"/>
        <w:adjustRightInd w:val="0"/>
        <w:snapToGrid w:val="0"/>
        <w:spacing w:before="0" w:beforeAutospacing="0" w:after="0" w:afterAutospacing="0" w:line="360" w:lineRule="auto"/>
        <w:ind w:firstLine="480" w:firstLineChars="200"/>
        <w:rPr>
          <w:rFonts w:ascii="仿宋" w:hAnsi="仿宋" w:eastAsia="仿宋"/>
          <w:bCs/>
          <w:color w:val="FF0000"/>
        </w:rPr>
      </w:pPr>
      <w:r>
        <w:rPr>
          <w:rFonts w:ascii="仿宋" w:hAnsi="仿宋" w:eastAsia="仿宋"/>
          <w:bCs/>
        </w:rPr>
        <w:t>2019</w:t>
      </w:r>
      <w:r>
        <w:rPr>
          <w:rFonts w:hint="eastAsia" w:ascii="仿宋" w:hAnsi="仿宋" w:eastAsia="仿宋"/>
          <w:bCs/>
        </w:rPr>
        <w:t>年巴南区旅游发展专项资金，各项事务基本按方案要求完成，从现场调查和问卷调查反馈情况看，整体完成质量较好。</w:t>
      </w:r>
    </w:p>
    <w:p>
      <w:pPr>
        <w:pStyle w:val="12"/>
        <w:adjustRightInd w:val="0"/>
        <w:snapToGrid w:val="0"/>
        <w:spacing w:before="0" w:beforeAutospacing="0" w:after="0" w:afterAutospacing="0" w:line="360" w:lineRule="auto"/>
        <w:ind w:firstLine="482" w:firstLineChars="200"/>
        <w:rPr>
          <w:rFonts w:ascii="仿宋" w:hAnsi="仿宋" w:eastAsia="仿宋"/>
          <w:b/>
        </w:rPr>
      </w:pPr>
      <w:r>
        <w:rPr>
          <w:rFonts w:ascii="仿宋" w:hAnsi="仿宋" w:eastAsia="仿宋"/>
          <w:b/>
        </w:rPr>
        <w:t>3</w:t>
      </w:r>
      <w:r>
        <w:rPr>
          <w:rFonts w:hint="eastAsia" w:ascii="仿宋" w:hAnsi="仿宋" w:eastAsia="仿宋"/>
          <w:b/>
        </w:rPr>
        <w:t>、项目的效益性分析</w:t>
      </w:r>
    </w:p>
    <w:p>
      <w:pPr>
        <w:pStyle w:val="12"/>
        <w:adjustRightInd w:val="0"/>
        <w:snapToGrid w:val="0"/>
        <w:spacing w:before="0" w:beforeAutospacing="0" w:after="0" w:afterAutospacing="0" w:line="360" w:lineRule="auto"/>
        <w:ind w:firstLine="482" w:firstLineChars="200"/>
        <w:rPr>
          <w:rFonts w:ascii="仿宋" w:hAnsi="仿宋" w:eastAsia="仿宋"/>
          <w:b/>
        </w:rPr>
      </w:pPr>
      <w:r>
        <w:rPr>
          <w:rFonts w:hint="eastAsia" w:ascii="仿宋" w:hAnsi="仿宋" w:eastAsia="仿宋"/>
          <w:b/>
        </w:rPr>
        <w:t>（</w:t>
      </w:r>
      <w:r>
        <w:rPr>
          <w:rFonts w:ascii="仿宋" w:hAnsi="仿宋" w:eastAsia="仿宋"/>
          <w:b/>
        </w:rPr>
        <w:t>1</w:t>
      </w:r>
      <w:r>
        <w:rPr>
          <w:rFonts w:hint="eastAsia" w:ascii="仿宋" w:hAnsi="仿宋" w:eastAsia="仿宋"/>
          <w:b/>
        </w:rPr>
        <w:t>）项目预期目标完成程度。</w:t>
      </w:r>
    </w:p>
    <w:p>
      <w:pPr>
        <w:pStyle w:val="12"/>
        <w:adjustRightInd w:val="0"/>
        <w:snapToGrid w:val="0"/>
        <w:spacing w:before="0" w:beforeAutospacing="0" w:after="0" w:afterAutospacing="0" w:line="360" w:lineRule="auto"/>
        <w:ind w:firstLine="480" w:firstLineChars="200"/>
        <w:rPr>
          <w:rFonts w:ascii="仿宋" w:hAnsi="仿宋" w:eastAsia="仿宋"/>
          <w:bCs/>
        </w:rPr>
      </w:pPr>
      <w:r>
        <w:rPr>
          <w:rFonts w:hint="eastAsia" w:ascii="仿宋" w:hAnsi="仿宋" w:eastAsia="仿宋"/>
          <w:bCs/>
        </w:rPr>
        <w:t>项目绩效目标为</w:t>
      </w:r>
      <w:r>
        <w:rPr>
          <w:rFonts w:ascii="仿宋" w:hAnsi="仿宋" w:eastAsia="仿宋"/>
          <w:bCs/>
        </w:rPr>
        <w:t>2019</w:t>
      </w:r>
      <w:r>
        <w:rPr>
          <w:rFonts w:hint="eastAsia" w:ascii="仿宋" w:hAnsi="仿宋" w:eastAsia="仿宋"/>
          <w:bCs/>
        </w:rPr>
        <w:t>年全区预计接待旅游人次</w:t>
      </w:r>
      <w:r>
        <w:rPr>
          <w:rFonts w:ascii="仿宋" w:hAnsi="仿宋" w:eastAsia="仿宋"/>
          <w:bCs/>
        </w:rPr>
        <w:t>3500</w:t>
      </w:r>
      <w:r>
        <w:rPr>
          <w:rFonts w:hint="eastAsia" w:ascii="仿宋" w:hAnsi="仿宋" w:eastAsia="仿宋"/>
          <w:bCs/>
        </w:rPr>
        <w:t>万人次，预计实现全区旅游综合经济收入</w:t>
      </w:r>
      <w:r>
        <w:rPr>
          <w:rFonts w:ascii="仿宋" w:hAnsi="仿宋" w:eastAsia="仿宋"/>
          <w:bCs/>
        </w:rPr>
        <w:t>115</w:t>
      </w:r>
      <w:r>
        <w:rPr>
          <w:rFonts w:hint="eastAsia" w:ascii="仿宋" w:hAnsi="仿宋" w:eastAsia="仿宋"/>
          <w:bCs/>
        </w:rPr>
        <w:t>亿元。根据</w:t>
      </w:r>
      <w:r>
        <w:rPr>
          <w:rFonts w:hint="eastAsia" w:ascii="仿宋" w:hAnsi="仿宋" w:eastAsia="仿宋" w:cs="Times New Roman"/>
          <w:bCs/>
          <w:kern w:val="2"/>
        </w:rPr>
        <w:t>区文旅委提供的相关数据资料，目标已完成。</w:t>
      </w:r>
    </w:p>
    <w:p>
      <w:pPr>
        <w:pStyle w:val="12"/>
        <w:adjustRightInd w:val="0"/>
        <w:snapToGrid w:val="0"/>
        <w:spacing w:before="0" w:beforeAutospacing="0" w:after="0" w:afterAutospacing="0" w:line="360" w:lineRule="auto"/>
        <w:ind w:firstLine="482" w:firstLineChars="200"/>
        <w:rPr>
          <w:rFonts w:ascii="仿宋" w:hAnsi="仿宋" w:eastAsia="仿宋"/>
          <w:b/>
        </w:rPr>
      </w:pPr>
      <w:r>
        <w:rPr>
          <w:rFonts w:hint="eastAsia" w:ascii="仿宋" w:hAnsi="仿宋" w:eastAsia="仿宋"/>
          <w:b/>
        </w:rPr>
        <w:t>（</w:t>
      </w:r>
      <w:r>
        <w:rPr>
          <w:rFonts w:ascii="仿宋" w:hAnsi="仿宋" w:eastAsia="仿宋"/>
          <w:b/>
        </w:rPr>
        <w:t>2</w:t>
      </w:r>
      <w:r>
        <w:rPr>
          <w:rFonts w:hint="eastAsia" w:ascii="仿宋" w:hAnsi="仿宋" w:eastAsia="仿宋"/>
          <w:b/>
        </w:rPr>
        <w:t>）项目实施对社会和经济的影响。</w:t>
      </w:r>
    </w:p>
    <w:p>
      <w:pPr>
        <w:pStyle w:val="12"/>
        <w:adjustRightInd w:val="0"/>
        <w:snapToGrid w:val="0"/>
        <w:spacing w:before="0" w:beforeAutospacing="0" w:after="0" w:afterAutospacing="0" w:line="360" w:lineRule="auto"/>
        <w:ind w:firstLine="480" w:firstLineChars="200"/>
        <w:rPr>
          <w:rFonts w:ascii="仿宋" w:hAnsi="仿宋" w:eastAsia="仿宋"/>
          <w:bCs/>
        </w:rPr>
      </w:pPr>
      <w:r>
        <w:rPr>
          <w:rFonts w:hint="eastAsia" w:ascii="仿宋" w:hAnsi="仿宋" w:eastAsia="仿宋"/>
          <w:bCs/>
        </w:rPr>
        <w:t>a</w:t>
      </w:r>
      <w:r>
        <w:rPr>
          <w:rFonts w:ascii="仿宋" w:hAnsi="仿宋" w:eastAsia="仿宋"/>
          <w:bCs/>
        </w:rPr>
        <w:t>.</w:t>
      </w:r>
      <w:r>
        <w:rPr>
          <w:rFonts w:hint="eastAsia" w:ascii="仿宋" w:hAnsi="仿宋" w:eastAsia="仿宋"/>
          <w:bCs/>
        </w:rPr>
        <w:t>经济效益。</w:t>
      </w:r>
    </w:p>
    <w:p>
      <w:pPr>
        <w:pStyle w:val="12"/>
        <w:adjustRightInd w:val="0"/>
        <w:snapToGrid w:val="0"/>
        <w:spacing w:before="0" w:beforeAutospacing="0" w:after="0" w:afterAutospacing="0" w:line="360" w:lineRule="auto"/>
        <w:ind w:firstLine="480" w:firstLineChars="200"/>
        <w:rPr>
          <w:rFonts w:ascii="仿宋" w:hAnsi="仿宋" w:eastAsia="仿宋" w:cs="Times New Roman"/>
          <w:bCs/>
          <w:kern w:val="2"/>
        </w:rPr>
      </w:pPr>
      <w:r>
        <w:rPr>
          <w:rFonts w:hint="eastAsia" w:ascii="仿宋" w:hAnsi="仿宋" w:eastAsia="仿宋" w:cs="Times New Roman"/>
          <w:bCs/>
          <w:kern w:val="2"/>
        </w:rPr>
        <w:t>根据区文旅委提供的相关数据资料显示，</w:t>
      </w:r>
      <w:r>
        <w:rPr>
          <w:rFonts w:ascii="仿宋" w:hAnsi="仿宋" w:eastAsia="仿宋" w:cs="Times New Roman"/>
          <w:bCs/>
          <w:kern w:val="2"/>
        </w:rPr>
        <w:t>2019</w:t>
      </w:r>
      <w:r>
        <w:rPr>
          <w:rFonts w:hint="eastAsia" w:ascii="仿宋" w:hAnsi="仿宋" w:eastAsia="仿宋" w:cs="Times New Roman"/>
          <w:bCs/>
          <w:kern w:val="2"/>
        </w:rPr>
        <w:t>年全区实现旅游综合收入</w:t>
      </w:r>
      <w:r>
        <w:rPr>
          <w:rFonts w:ascii="仿宋" w:hAnsi="仿宋" w:eastAsia="仿宋" w:cs="Times New Roman"/>
          <w:bCs/>
          <w:kern w:val="2"/>
        </w:rPr>
        <w:t>133.45</w:t>
      </w:r>
      <w:r>
        <w:rPr>
          <w:rFonts w:hint="eastAsia" w:ascii="仿宋" w:hAnsi="仿宋" w:eastAsia="仿宋" w:cs="Times New Roman"/>
          <w:bCs/>
          <w:kern w:val="2"/>
        </w:rPr>
        <w:t>亿元，</w:t>
      </w:r>
      <w:bookmarkStart w:id="4" w:name="_Hlk45029135"/>
      <w:r>
        <w:rPr>
          <w:rFonts w:hint="eastAsia" w:ascii="仿宋" w:hAnsi="仿宋" w:eastAsia="仿宋" w:cs="Times New Roman"/>
          <w:bCs/>
          <w:kern w:val="2"/>
        </w:rPr>
        <w:t>达到设定的绩效指标值的1</w:t>
      </w:r>
      <w:r>
        <w:rPr>
          <w:rFonts w:ascii="仿宋" w:hAnsi="仿宋" w:eastAsia="仿宋" w:cs="Times New Roman"/>
          <w:bCs/>
          <w:kern w:val="2"/>
        </w:rPr>
        <w:t>16</w:t>
      </w:r>
      <w:r>
        <w:rPr>
          <w:rFonts w:hint="eastAsia" w:ascii="仿宋" w:hAnsi="仿宋" w:eastAsia="仿宋" w:cs="Times New Roman"/>
          <w:bCs/>
          <w:kern w:val="2"/>
        </w:rPr>
        <w:t>%</w:t>
      </w:r>
      <w:bookmarkEnd w:id="4"/>
      <w:r>
        <w:rPr>
          <w:rFonts w:hint="eastAsia" w:ascii="仿宋" w:hAnsi="仿宋" w:eastAsia="仿宋" w:cs="Times New Roman"/>
          <w:bCs/>
          <w:kern w:val="2"/>
        </w:rPr>
        <w:t>，同比增加</w:t>
      </w:r>
      <w:r>
        <w:rPr>
          <w:rFonts w:ascii="仿宋" w:hAnsi="仿宋" w:eastAsia="仿宋" w:cs="Times New Roman"/>
          <w:bCs/>
          <w:kern w:val="2"/>
        </w:rPr>
        <w:t>20</w:t>
      </w:r>
      <w:r>
        <w:rPr>
          <w:rFonts w:hint="eastAsia" w:ascii="仿宋" w:hAnsi="仿宋" w:eastAsia="仿宋" w:cs="Times New Roman"/>
          <w:bCs/>
          <w:kern w:val="2"/>
        </w:rPr>
        <w:t>%；接待游客</w:t>
      </w:r>
      <w:r>
        <w:rPr>
          <w:rFonts w:ascii="仿宋" w:hAnsi="仿宋" w:eastAsia="仿宋" w:cs="Times New Roman"/>
          <w:bCs/>
          <w:kern w:val="2"/>
        </w:rPr>
        <w:t>3698.23</w:t>
      </w:r>
      <w:r>
        <w:rPr>
          <w:rFonts w:hint="eastAsia" w:ascii="仿宋" w:hAnsi="仿宋" w:eastAsia="仿宋" w:cs="Times New Roman"/>
          <w:bCs/>
          <w:kern w:val="2"/>
        </w:rPr>
        <w:t>万人次，达到设定的绩效指标值的</w:t>
      </w:r>
      <w:r>
        <w:rPr>
          <w:rFonts w:ascii="仿宋" w:hAnsi="仿宋" w:eastAsia="仿宋" w:cs="Times New Roman"/>
          <w:bCs/>
          <w:kern w:val="2"/>
        </w:rPr>
        <w:t>105</w:t>
      </w:r>
      <w:r>
        <w:rPr>
          <w:rFonts w:hint="eastAsia" w:ascii="仿宋" w:hAnsi="仿宋" w:eastAsia="仿宋" w:cs="Times New Roman"/>
          <w:bCs/>
          <w:kern w:val="2"/>
        </w:rPr>
        <w:t>%，同比增加1</w:t>
      </w:r>
      <w:r>
        <w:rPr>
          <w:rFonts w:ascii="仿宋" w:hAnsi="仿宋" w:eastAsia="仿宋" w:cs="Times New Roman"/>
          <w:bCs/>
          <w:kern w:val="2"/>
        </w:rPr>
        <w:t>0</w:t>
      </w:r>
      <w:r>
        <w:rPr>
          <w:rFonts w:hint="eastAsia" w:ascii="仿宋" w:hAnsi="仿宋" w:eastAsia="仿宋" w:cs="Times New Roman"/>
          <w:bCs/>
          <w:kern w:val="2"/>
        </w:rPr>
        <w:t>%。上述数据表明，</w:t>
      </w:r>
      <w:r>
        <w:rPr>
          <w:rFonts w:ascii="仿宋" w:hAnsi="仿宋" w:eastAsia="仿宋" w:cs="Times New Roman"/>
          <w:bCs/>
          <w:kern w:val="2"/>
        </w:rPr>
        <w:t>2019</w:t>
      </w:r>
      <w:r>
        <w:rPr>
          <w:rFonts w:hint="eastAsia" w:ascii="仿宋" w:hAnsi="仿宋" w:eastAsia="仿宋" w:cs="Times New Roman"/>
          <w:bCs/>
          <w:kern w:val="2"/>
        </w:rPr>
        <w:t>年巴南区旅游发展工作，较好地促进了全区旅游业发展，提高了旅游综合收入。</w:t>
      </w:r>
    </w:p>
    <w:p>
      <w:pPr>
        <w:pStyle w:val="12"/>
        <w:adjustRightInd w:val="0"/>
        <w:snapToGrid w:val="0"/>
        <w:spacing w:before="0" w:beforeAutospacing="0" w:after="0" w:afterAutospacing="0" w:line="360" w:lineRule="auto"/>
        <w:ind w:firstLine="480" w:firstLineChars="200"/>
        <w:rPr>
          <w:rFonts w:ascii="仿宋" w:hAnsi="仿宋" w:eastAsia="仿宋"/>
          <w:bCs/>
        </w:rPr>
      </w:pPr>
      <w:r>
        <w:rPr>
          <w:rFonts w:hint="eastAsia" w:ascii="仿宋" w:hAnsi="仿宋" w:eastAsia="仿宋"/>
          <w:bCs/>
        </w:rPr>
        <w:t>b</w:t>
      </w:r>
      <w:r>
        <w:rPr>
          <w:rFonts w:ascii="仿宋" w:hAnsi="仿宋" w:eastAsia="仿宋"/>
          <w:bCs/>
        </w:rPr>
        <w:t>.</w:t>
      </w:r>
      <w:r>
        <w:rPr>
          <w:rFonts w:hint="eastAsia" w:ascii="仿宋" w:hAnsi="仿宋" w:eastAsia="仿宋"/>
          <w:bCs/>
        </w:rPr>
        <w:t>社会效益</w:t>
      </w:r>
    </w:p>
    <w:p>
      <w:pPr>
        <w:pStyle w:val="12"/>
        <w:adjustRightInd w:val="0"/>
        <w:snapToGrid w:val="0"/>
        <w:spacing w:before="0" w:beforeAutospacing="0" w:after="0" w:afterAutospacing="0" w:line="360" w:lineRule="auto"/>
        <w:ind w:firstLine="480" w:firstLineChars="200"/>
        <w:rPr>
          <w:rFonts w:ascii="仿宋" w:hAnsi="仿宋" w:eastAsia="仿宋" w:cs="Times New Roman"/>
          <w:bCs/>
          <w:kern w:val="2"/>
        </w:rPr>
      </w:pPr>
      <w:r>
        <w:rPr>
          <w:rFonts w:hint="eastAsia" w:ascii="仿宋" w:hAnsi="仿宋" w:eastAsia="仿宋" w:cs="Times New Roman"/>
          <w:bCs/>
          <w:kern w:val="2"/>
        </w:rPr>
        <w:t>开展各类宣传营销活动，对巴南区旅游知名度和美誉度提升起到积极作用。举办了巴南“晒文化·晒风景”活动，使巴南区上全国热搜榜，上榜“2</w:t>
      </w:r>
      <w:r>
        <w:rPr>
          <w:rFonts w:ascii="仿宋" w:hAnsi="仿宋" w:eastAsia="仿宋" w:cs="Times New Roman"/>
          <w:bCs/>
          <w:kern w:val="2"/>
        </w:rPr>
        <w:t>019</w:t>
      </w:r>
      <w:r>
        <w:rPr>
          <w:rFonts w:hint="eastAsia" w:ascii="仿宋" w:hAnsi="仿宋" w:eastAsia="仿宋" w:cs="Times New Roman"/>
          <w:bCs/>
          <w:kern w:val="2"/>
        </w:rPr>
        <w:t>中国大三峡文化旅游最具吸引力城市形象宣传口号T</w:t>
      </w:r>
      <w:r>
        <w:rPr>
          <w:rFonts w:ascii="仿宋" w:hAnsi="仿宋" w:eastAsia="仿宋" w:cs="Times New Roman"/>
          <w:bCs/>
          <w:kern w:val="2"/>
        </w:rPr>
        <w:t>OP100</w:t>
      </w:r>
      <w:r>
        <w:rPr>
          <w:rFonts w:hint="eastAsia" w:ascii="仿宋" w:hAnsi="仿宋" w:eastAsia="仿宋" w:cs="Times New Roman"/>
          <w:bCs/>
          <w:kern w:val="2"/>
        </w:rPr>
        <w:t>”；通过举办2</w:t>
      </w:r>
      <w:r>
        <w:rPr>
          <w:rFonts w:ascii="仿宋" w:hAnsi="仿宋" w:eastAsia="仿宋" w:cs="Times New Roman"/>
          <w:bCs/>
          <w:kern w:val="2"/>
        </w:rPr>
        <w:t>019</w:t>
      </w:r>
      <w:r>
        <w:rPr>
          <w:rFonts w:hint="eastAsia" w:ascii="仿宋" w:hAnsi="仿宋" w:eastAsia="仿宋" w:cs="Times New Roman"/>
          <w:bCs/>
          <w:kern w:val="2"/>
        </w:rPr>
        <w:t>中华山水茶道文化节、文化旅游惠民消费节、夜市文化节，参加西旅会、文博会，提升了巴南城市影响力；与国家、市级媒体和新媒体合作围绕四季主题，开展专题宣传4</w:t>
      </w:r>
      <w:r>
        <w:rPr>
          <w:rFonts w:ascii="仿宋" w:hAnsi="仿宋" w:eastAsia="仿宋" w:cs="Times New Roman"/>
          <w:bCs/>
          <w:kern w:val="2"/>
        </w:rPr>
        <w:t>0</w:t>
      </w:r>
      <w:r>
        <w:rPr>
          <w:rFonts w:hint="eastAsia" w:ascii="仿宋" w:hAnsi="仿宋" w:eastAsia="仿宋" w:cs="Times New Roman"/>
          <w:bCs/>
          <w:kern w:val="2"/>
        </w:rPr>
        <w:t>余次，全年推出四季旅游线路2</w:t>
      </w:r>
      <w:r>
        <w:rPr>
          <w:rFonts w:ascii="仿宋" w:hAnsi="仿宋" w:eastAsia="仿宋" w:cs="Times New Roman"/>
          <w:bCs/>
          <w:kern w:val="2"/>
        </w:rPr>
        <w:t>0</w:t>
      </w:r>
      <w:r>
        <w:rPr>
          <w:rFonts w:hint="eastAsia" w:ascii="仿宋" w:hAnsi="仿宋" w:eastAsia="仿宋" w:cs="Times New Roman"/>
          <w:bCs/>
          <w:kern w:val="2"/>
        </w:rPr>
        <w:t>余条，打造丰盛古镇、天坪山、巴滨路等3条都市休闲、生态“三养”精品旅游线路，促进都市游、乡村游、古镇游、温泉游、康养游发展，一定程度上提升了“乐享四季·生态巴南”的品牌影响力。</w:t>
      </w:r>
    </w:p>
    <w:p>
      <w:pPr>
        <w:pStyle w:val="12"/>
        <w:adjustRightInd w:val="0"/>
        <w:snapToGrid w:val="0"/>
        <w:spacing w:before="0" w:beforeAutospacing="0" w:after="0" w:afterAutospacing="0" w:line="360" w:lineRule="auto"/>
        <w:ind w:firstLine="480" w:firstLineChars="200"/>
        <w:rPr>
          <w:rFonts w:ascii="仿宋" w:hAnsi="仿宋" w:eastAsia="仿宋"/>
          <w:bCs/>
        </w:rPr>
      </w:pPr>
      <w:r>
        <w:rPr>
          <w:rFonts w:ascii="仿宋" w:hAnsi="仿宋" w:eastAsia="仿宋"/>
          <w:bCs/>
        </w:rPr>
        <w:t>c.</w:t>
      </w:r>
      <w:r>
        <w:rPr>
          <w:rFonts w:hint="eastAsia" w:ascii="仿宋" w:hAnsi="仿宋" w:eastAsia="仿宋"/>
          <w:bCs/>
        </w:rPr>
        <w:t>可持续影响</w:t>
      </w:r>
    </w:p>
    <w:p>
      <w:pPr>
        <w:pStyle w:val="12"/>
        <w:adjustRightInd w:val="0"/>
        <w:snapToGrid w:val="0"/>
        <w:spacing w:before="0" w:beforeAutospacing="0" w:after="0" w:afterAutospacing="0" w:line="360" w:lineRule="auto"/>
        <w:ind w:firstLine="480" w:firstLineChars="200"/>
        <w:rPr>
          <w:rFonts w:ascii="仿宋" w:hAnsi="仿宋" w:eastAsia="仿宋"/>
          <w:bCs/>
        </w:rPr>
      </w:pPr>
      <w:r>
        <w:rPr>
          <w:rFonts w:hint="eastAsia" w:ascii="仿宋" w:hAnsi="仿宋" w:eastAsia="仿宋"/>
          <w:bCs/>
        </w:rPr>
        <w:t>①运营保障机制</w:t>
      </w:r>
    </w:p>
    <w:p>
      <w:pPr>
        <w:pStyle w:val="12"/>
        <w:adjustRightInd w:val="0"/>
        <w:snapToGrid w:val="0"/>
        <w:spacing w:before="0" w:beforeAutospacing="0" w:after="0" w:afterAutospacing="0" w:line="360" w:lineRule="auto"/>
        <w:ind w:firstLine="480" w:firstLineChars="200"/>
        <w:rPr>
          <w:rFonts w:ascii="仿宋" w:hAnsi="仿宋" w:eastAsia="仿宋"/>
          <w:bCs/>
        </w:rPr>
      </w:pPr>
      <w:r>
        <w:rPr>
          <w:rFonts w:hint="eastAsia" w:ascii="仿宋" w:hAnsi="仿宋" w:eastAsia="仿宋"/>
          <w:bCs/>
        </w:rPr>
        <w:t>为加快巴南区全域旅游发展，巴南区委区政府高度重视旅游发展工作，经费由财政专项保障，建立区级、镇街党委政府主要负责人挂帅的组织领导机制，强化统筹协调，组织保障得力，制定发展规划，较好的保证了运行机制的可持续性。</w:t>
      </w:r>
    </w:p>
    <w:p>
      <w:pPr>
        <w:pStyle w:val="12"/>
        <w:adjustRightInd w:val="0"/>
        <w:snapToGrid w:val="0"/>
        <w:spacing w:before="0" w:beforeAutospacing="0" w:after="0" w:afterAutospacing="0" w:line="360" w:lineRule="auto"/>
        <w:ind w:firstLine="480" w:firstLineChars="200"/>
        <w:rPr>
          <w:rFonts w:ascii="仿宋" w:hAnsi="仿宋" w:eastAsia="仿宋"/>
          <w:bCs/>
        </w:rPr>
      </w:pPr>
      <w:r>
        <w:rPr>
          <w:rFonts w:hint="eastAsia" w:ascii="仿宋" w:hAnsi="仿宋" w:eastAsia="仿宋"/>
          <w:bCs/>
        </w:rPr>
        <w:t>②项目效果的可持续性</w:t>
      </w:r>
    </w:p>
    <w:p>
      <w:pPr>
        <w:pStyle w:val="12"/>
        <w:adjustRightInd w:val="0"/>
        <w:snapToGrid w:val="0"/>
        <w:spacing w:before="0" w:beforeAutospacing="0" w:after="0" w:afterAutospacing="0" w:line="360" w:lineRule="auto"/>
        <w:ind w:firstLine="480" w:firstLineChars="200"/>
        <w:rPr>
          <w:rFonts w:ascii="仿宋" w:hAnsi="仿宋" w:eastAsia="仿宋"/>
          <w:bCs/>
        </w:rPr>
      </w:pPr>
      <w:r>
        <w:rPr>
          <w:rFonts w:hint="eastAsia" w:ascii="仿宋" w:hAnsi="仿宋" w:eastAsia="仿宋"/>
          <w:bCs/>
        </w:rPr>
        <w:t>加快全域旅游发展，对推动巴南产业转型升级、提升现代服务业，促进巴南区经济社会高质量发展影响深远，项目效果可持续。</w:t>
      </w:r>
    </w:p>
    <w:p>
      <w:pPr>
        <w:pStyle w:val="12"/>
        <w:adjustRightInd w:val="0"/>
        <w:snapToGrid w:val="0"/>
        <w:spacing w:before="0" w:beforeAutospacing="0" w:after="0" w:afterAutospacing="0" w:line="360" w:lineRule="auto"/>
        <w:ind w:firstLine="480" w:firstLineChars="200"/>
        <w:rPr>
          <w:rFonts w:ascii="仿宋" w:hAnsi="仿宋" w:eastAsia="仿宋"/>
          <w:bCs/>
        </w:rPr>
      </w:pPr>
      <w:r>
        <w:rPr>
          <w:rFonts w:hint="eastAsia" w:ascii="仿宋" w:hAnsi="仿宋" w:eastAsia="仿宋"/>
          <w:bCs/>
        </w:rPr>
        <w:t>d</w:t>
      </w:r>
      <w:r>
        <w:rPr>
          <w:rFonts w:ascii="仿宋" w:hAnsi="仿宋" w:eastAsia="仿宋"/>
          <w:bCs/>
        </w:rPr>
        <w:t>.</w:t>
      </w:r>
      <w:r>
        <w:rPr>
          <w:rFonts w:hint="eastAsia" w:ascii="仿宋" w:hAnsi="仿宋" w:eastAsia="仿宋"/>
          <w:bCs/>
        </w:rPr>
        <w:t>群众满意度</w:t>
      </w:r>
    </w:p>
    <w:p>
      <w:pPr>
        <w:adjustRightInd w:val="0"/>
        <w:snapToGrid w:val="0"/>
        <w:spacing w:line="360" w:lineRule="auto"/>
        <w:ind w:firstLine="480" w:firstLineChars="200"/>
        <w:jc w:val="left"/>
        <w:rPr>
          <w:rFonts w:ascii="仿宋" w:hAnsi="仿宋" w:eastAsia="仿宋"/>
          <w:sz w:val="24"/>
        </w:rPr>
      </w:pPr>
      <w:r>
        <w:rPr>
          <w:rFonts w:hint="eastAsia" w:ascii="仿宋" w:hAnsi="仿宋" w:eastAsia="仿宋"/>
          <w:sz w:val="24"/>
        </w:rPr>
        <w:t>本次评价，通过现场问卷调查的方式向项目实施地点附近群众共发放问卷</w:t>
      </w:r>
      <w:r>
        <w:rPr>
          <w:rFonts w:ascii="仿宋" w:hAnsi="仿宋" w:eastAsia="仿宋"/>
          <w:sz w:val="24"/>
        </w:rPr>
        <w:t>30</w:t>
      </w:r>
      <w:r>
        <w:rPr>
          <w:rFonts w:hint="eastAsia" w:ascii="仿宋" w:hAnsi="仿宋" w:eastAsia="仿宋"/>
          <w:sz w:val="24"/>
        </w:rPr>
        <w:t>份，回收有效问卷</w:t>
      </w:r>
      <w:r>
        <w:rPr>
          <w:rFonts w:ascii="仿宋" w:hAnsi="仿宋" w:eastAsia="仿宋"/>
          <w:sz w:val="24"/>
        </w:rPr>
        <w:t>30</w:t>
      </w:r>
      <w:r>
        <w:rPr>
          <w:rFonts w:hint="eastAsia" w:ascii="仿宋" w:hAnsi="仿宋" w:eastAsia="仿宋"/>
          <w:sz w:val="24"/>
        </w:rPr>
        <w:t>份。经统计分析，满意度如下：</w:t>
      </w:r>
    </w:p>
    <w:p>
      <w:pPr>
        <w:adjustRightInd w:val="0"/>
        <w:snapToGrid w:val="0"/>
        <w:spacing w:line="360" w:lineRule="auto"/>
        <w:jc w:val="center"/>
        <w:rPr>
          <w:rFonts w:ascii="仿宋" w:hAnsi="仿宋" w:eastAsia="仿宋"/>
          <w:color w:val="FF0000"/>
          <w:sz w:val="24"/>
        </w:rPr>
      </w:pPr>
      <w:bookmarkStart w:id="5" w:name="_MON_1655696368"/>
      <w:bookmarkEnd w:id="5"/>
      <w:r>
        <w:rPr>
          <w:rFonts w:ascii="仿宋" w:hAnsi="仿宋" w:eastAsia="仿宋"/>
          <w:color w:val="FF0000"/>
          <w:sz w:val="24"/>
        </w:rPr>
        <w:object>
          <v:shape id="_x0000_i1027" o:spt="75" type="#_x0000_t75" style="height:67.5pt;width:364.5pt;" o:ole="t" filled="f" o:preferrelative="t" stroked="f" coordsize="21600,21600">
            <v:path/>
            <v:fill on="f" focussize="0,0"/>
            <v:stroke on="f" joinstyle="miter"/>
            <v:imagedata r:id="rId13" o:title=""/>
            <o:lock v:ext="edit" aspectratio="t"/>
            <w10:wrap type="none"/>
            <w10:anchorlock/>
          </v:shape>
          <o:OLEObject Type="Embed" ProgID="Excel.Sheet.12" ShapeID="_x0000_i1027" DrawAspect="Content" ObjectID="_1468075727" r:id="rId12">
            <o:LockedField>false</o:LockedField>
          </o:OLEObject>
        </w:object>
      </w:r>
    </w:p>
    <w:p>
      <w:pPr>
        <w:adjustRightInd w:val="0"/>
        <w:snapToGrid w:val="0"/>
        <w:spacing w:line="360" w:lineRule="auto"/>
        <w:ind w:firstLine="480" w:firstLineChars="200"/>
        <w:jc w:val="left"/>
        <w:rPr>
          <w:rFonts w:ascii="仿宋" w:hAnsi="仿宋" w:eastAsia="仿宋"/>
          <w:sz w:val="24"/>
        </w:rPr>
      </w:pPr>
      <w:r>
        <w:rPr>
          <w:rFonts w:hint="eastAsia" w:ascii="仿宋" w:hAnsi="仿宋" w:eastAsia="仿宋"/>
          <w:sz w:val="24"/>
        </w:rPr>
        <w:t>问卷调查结果表明，被调查群众对项目质量、项目效果均比较满意，不存在不满意的情况。</w:t>
      </w:r>
    </w:p>
    <w:p>
      <w:pPr>
        <w:pStyle w:val="12"/>
        <w:adjustRightInd w:val="0"/>
        <w:snapToGrid w:val="0"/>
        <w:spacing w:before="0" w:beforeAutospacing="0" w:after="0" w:afterAutospacing="0" w:line="360" w:lineRule="auto"/>
        <w:ind w:firstLine="482" w:firstLineChars="200"/>
        <w:rPr>
          <w:rFonts w:ascii="仿宋" w:hAnsi="仿宋" w:eastAsia="仿宋"/>
          <w:b/>
        </w:rPr>
      </w:pPr>
      <w:bookmarkStart w:id="6" w:name="_Hlk42072974"/>
      <w:r>
        <w:rPr>
          <w:rFonts w:hint="eastAsia" w:ascii="仿宋" w:hAnsi="仿宋" w:eastAsia="仿宋"/>
          <w:b/>
        </w:rPr>
        <w:t>四、存在问题及改进建议</w:t>
      </w:r>
    </w:p>
    <w:bookmarkEnd w:id="6"/>
    <w:p>
      <w:pPr>
        <w:pStyle w:val="12"/>
        <w:adjustRightInd w:val="0"/>
        <w:snapToGrid w:val="0"/>
        <w:spacing w:before="0" w:beforeAutospacing="0" w:after="0" w:afterAutospacing="0" w:line="360" w:lineRule="auto"/>
        <w:ind w:firstLine="482" w:firstLineChars="200"/>
        <w:rPr>
          <w:rFonts w:ascii="仿宋" w:hAnsi="仿宋" w:eastAsia="仿宋"/>
          <w:b/>
        </w:rPr>
      </w:pPr>
      <w:r>
        <w:rPr>
          <w:rFonts w:ascii="仿宋" w:hAnsi="仿宋" w:eastAsia="仿宋"/>
          <w:b/>
        </w:rPr>
        <w:t>1</w:t>
      </w:r>
      <w:r>
        <w:rPr>
          <w:rFonts w:hint="eastAsia" w:ascii="仿宋" w:hAnsi="仿宋" w:eastAsia="仿宋"/>
          <w:b/>
        </w:rPr>
        <w:t>、部分资金列支不规范。</w:t>
      </w:r>
    </w:p>
    <w:p>
      <w:pPr>
        <w:pStyle w:val="12"/>
        <w:adjustRightInd w:val="0"/>
        <w:snapToGrid w:val="0"/>
        <w:spacing w:before="0" w:beforeAutospacing="0" w:after="0" w:afterAutospacing="0" w:line="360" w:lineRule="auto"/>
        <w:ind w:firstLine="480"/>
        <w:rPr>
          <w:rFonts w:ascii="仿宋" w:hAnsi="仿宋" w:eastAsia="仿宋"/>
        </w:rPr>
      </w:pPr>
      <w:r>
        <w:rPr>
          <w:rFonts w:hint="eastAsia" w:ascii="仿宋" w:hAnsi="仿宋" w:eastAsia="仿宋"/>
        </w:rPr>
        <w:t>（1）超范围列支。</w:t>
      </w:r>
      <w:r>
        <w:rPr>
          <w:rFonts w:hint="eastAsia" w:ascii="仿宋" w:hAnsi="仿宋" w:eastAsia="仿宋"/>
          <w:bCs/>
        </w:rPr>
        <w:t>区文旅委实施的旅游品牌推广项目中，列支有1</w:t>
      </w:r>
      <w:r>
        <w:rPr>
          <w:rFonts w:ascii="仿宋" w:hAnsi="仿宋" w:eastAsia="仿宋"/>
          <w:bCs/>
        </w:rPr>
        <w:t>7.79</w:t>
      </w:r>
      <w:r>
        <w:rPr>
          <w:rFonts w:hint="eastAsia" w:ascii="仿宋" w:hAnsi="仿宋" w:eastAsia="仿宋"/>
          <w:bCs/>
        </w:rPr>
        <w:t>万元日常运行费用，其中电费3</w:t>
      </w:r>
      <w:r>
        <w:rPr>
          <w:rFonts w:ascii="仿宋" w:hAnsi="仿宋" w:eastAsia="仿宋"/>
          <w:bCs/>
        </w:rPr>
        <w:t>.57</w:t>
      </w:r>
      <w:r>
        <w:rPr>
          <w:rFonts w:hint="eastAsia" w:ascii="仿宋" w:hAnsi="仿宋" w:eastAsia="仿宋"/>
          <w:bCs/>
        </w:rPr>
        <w:t>万元、水费0</w:t>
      </w:r>
      <w:r>
        <w:rPr>
          <w:rFonts w:ascii="仿宋" w:hAnsi="仿宋" w:eastAsia="仿宋"/>
          <w:bCs/>
        </w:rPr>
        <w:t>.14</w:t>
      </w:r>
      <w:r>
        <w:rPr>
          <w:rFonts w:hint="eastAsia" w:ascii="仿宋" w:hAnsi="仿宋" w:eastAsia="仿宋"/>
          <w:bCs/>
        </w:rPr>
        <w:t>万元、物业管理费3</w:t>
      </w:r>
      <w:r>
        <w:rPr>
          <w:rFonts w:ascii="仿宋" w:hAnsi="仿宋" w:eastAsia="仿宋"/>
          <w:bCs/>
        </w:rPr>
        <w:t>.92</w:t>
      </w:r>
      <w:r>
        <w:rPr>
          <w:rFonts w:hint="eastAsia" w:ascii="仿宋" w:hAnsi="仿宋" w:eastAsia="仿宋"/>
          <w:bCs/>
        </w:rPr>
        <w:t>万元、维修维护费1</w:t>
      </w:r>
      <w:r>
        <w:rPr>
          <w:rFonts w:ascii="仿宋" w:hAnsi="仿宋" w:eastAsia="仿宋"/>
          <w:bCs/>
        </w:rPr>
        <w:t>.27</w:t>
      </w:r>
      <w:r>
        <w:rPr>
          <w:rFonts w:hint="eastAsia" w:ascii="仿宋" w:hAnsi="仿宋" w:eastAsia="仿宋"/>
          <w:bCs/>
        </w:rPr>
        <w:t>万元、办公室搬迁劳务费8</w:t>
      </w:r>
      <w:r>
        <w:rPr>
          <w:rFonts w:ascii="仿宋" w:hAnsi="仿宋" w:eastAsia="仿宋"/>
          <w:bCs/>
        </w:rPr>
        <w:t>.89</w:t>
      </w:r>
      <w:r>
        <w:rPr>
          <w:rFonts w:hint="eastAsia" w:ascii="仿宋" w:hAnsi="仿宋" w:eastAsia="仿宋"/>
          <w:bCs/>
        </w:rPr>
        <w:t>万元。上述经费超出</w:t>
      </w:r>
      <w:r>
        <w:rPr>
          <w:rFonts w:hint="eastAsia" w:ascii="仿宋" w:hAnsi="仿宋" w:eastAsia="仿宋"/>
        </w:rPr>
        <w:t>旅游发展专项资金列支范围。</w:t>
      </w:r>
    </w:p>
    <w:p>
      <w:pPr>
        <w:pStyle w:val="12"/>
        <w:adjustRightInd w:val="0"/>
        <w:snapToGrid w:val="0"/>
        <w:spacing w:before="0" w:beforeAutospacing="0" w:after="0" w:afterAutospacing="0" w:line="360" w:lineRule="auto"/>
        <w:ind w:firstLine="480"/>
        <w:rPr>
          <w:rFonts w:ascii="仿宋" w:hAnsi="仿宋" w:eastAsia="仿宋"/>
          <w:bCs/>
        </w:rPr>
      </w:pPr>
      <w:r>
        <w:rPr>
          <w:rFonts w:hint="eastAsia" w:ascii="仿宋" w:hAnsi="仿宋" w:eastAsia="仿宋"/>
        </w:rPr>
        <w:t>（2）调整列支非计划项目。南温泉风景区管理处于2019年10于30日向区文旅委提交《关于申请南温泉景区品质提升专项补助经费的请示》（南泉分管文〔</w:t>
      </w:r>
      <w:r>
        <w:rPr>
          <w:rFonts w:ascii="仿宋" w:hAnsi="仿宋" w:eastAsia="仿宋"/>
        </w:rPr>
        <w:t>2019</w:t>
      </w:r>
      <w:r>
        <w:rPr>
          <w:rFonts w:hint="eastAsia" w:ascii="仿宋" w:hAnsi="仿宋" w:eastAsia="仿宋"/>
        </w:rPr>
        <w:t>〕8号），申请旅游发展专项资金60万元，一是用于</w:t>
      </w:r>
      <w:r>
        <w:rPr>
          <w:rFonts w:hint="eastAsia" w:ascii="仿宋" w:hAnsi="仿宋" w:eastAsia="仿宋"/>
          <w:bCs/>
        </w:rPr>
        <w:t>解放重庆主战场遗址周边环境整治35万元，二是用于花滩桥南桥头绿地集中整治15万元，三是用于景区视频监控系统10万元。该事项经区文旅委请示区政府后获得批准。但根据</w:t>
      </w:r>
      <w:r>
        <w:rPr>
          <w:rFonts w:hint="eastAsia" w:ascii="仿宋" w:hAnsi="仿宋" w:eastAsia="仿宋"/>
        </w:rPr>
        <w:t>南温泉风景区管理处提供的</w:t>
      </w:r>
      <w:r>
        <w:rPr>
          <w:rFonts w:hint="eastAsia" w:ascii="仿宋" w:hAnsi="仿宋" w:eastAsia="仿宋"/>
          <w:bCs/>
        </w:rPr>
        <w:t>项目资料显示，上述资金实际用于解放重庆主战场遗址周边环境整治4</w:t>
      </w:r>
      <w:r>
        <w:rPr>
          <w:rFonts w:ascii="仿宋" w:hAnsi="仿宋" w:eastAsia="仿宋"/>
          <w:bCs/>
        </w:rPr>
        <w:t>3.68</w:t>
      </w:r>
      <w:r>
        <w:rPr>
          <w:rFonts w:hint="eastAsia" w:ascii="仿宋" w:hAnsi="仿宋" w:eastAsia="仿宋"/>
          <w:bCs/>
        </w:rPr>
        <w:t>万元（计划内项目）、南温泉景区长南桥至炒油场路段景观栏杆修复1</w:t>
      </w:r>
      <w:r>
        <w:rPr>
          <w:rFonts w:ascii="仿宋" w:hAnsi="仿宋" w:eastAsia="仿宋"/>
          <w:bCs/>
        </w:rPr>
        <w:t>7.39</w:t>
      </w:r>
      <w:r>
        <w:rPr>
          <w:rFonts w:hint="eastAsia" w:ascii="仿宋" w:hAnsi="仿宋" w:eastAsia="仿宋"/>
          <w:bCs/>
        </w:rPr>
        <w:t>万元（计划外项目）、景区视频监控系统1</w:t>
      </w:r>
      <w:r>
        <w:rPr>
          <w:rFonts w:ascii="仿宋" w:hAnsi="仿宋" w:eastAsia="仿宋"/>
          <w:bCs/>
        </w:rPr>
        <w:t>.14</w:t>
      </w:r>
      <w:r>
        <w:rPr>
          <w:rFonts w:hint="eastAsia" w:ascii="仿宋" w:hAnsi="仿宋" w:eastAsia="仿宋"/>
          <w:bCs/>
        </w:rPr>
        <w:t>万元（计划内项目），资金列支计划外项目且已超支使用，致使计划实施的花滩桥南桥头绿地集中整治项目出现资金缺口。据南温泉</w:t>
      </w:r>
      <w:r>
        <w:rPr>
          <w:rFonts w:hint="eastAsia" w:ascii="仿宋" w:hAnsi="仿宋" w:eastAsia="仿宋"/>
        </w:rPr>
        <w:t>风景区管理处</w:t>
      </w:r>
      <w:r>
        <w:rPr>
          <w:rFonts w:hint="eastAsia" w:ascii="仿宋" w:hAnsi="仿宋" w:eastAsia="仿宋"/>
          <w:bCs/>
        </w:rPr>
        <w:t>介绍，截止2</w:t>
      </w:r>
      <w:r>
        <w:rPr>
          <w:rFonts w:ascii="仿宋" w:hAnsi="仿宋" w:eastAsia="仿宋"/>
          <w:bCs/>
        </w:rPr>
        <w:t>020</w:t>
      </w:r>
      <w:r>
        <w:rPr>
          <w:rFonts w:hint="eastAsia" w:ascii="仿宋" w:hAnsi="仿宋" w:eastAsia="仿宋"/>
          <w:bCs/>
        </w:rPr>
        <w:t>年6月30日，花滩桥南桥头绿地集中整治项目仍在实施中，尚未完工也未支付款项。此外，南温泉</w:t>
      </w:r>
      <w:r>
        <w:rPr>
          <w:rFonts w:hint="eastAsia" w:ascii="仿宋" w:hAnsi="仿宋" w:eastAsia="仿宋"/>
        </w:rPr>
        <w:t>风景区管理处</w:t>
      </w:r>
      <w:r>
        <w:rPr>
          <w:rFonts w:hint="eastAsia" w:ascii="仿宋" w:hAnsi="仿宋" w:eastAsia="仿宋"/>
          <w:bCs/>
        </w:rPr>
        <w:t>未对专项资金进行明细核算，项目资金使用情况不够清晰。</w:t>
      </w:r>
    </w:p>
    <w:p>
      <w:pPr>
        <w:pStyle w:val="12"/>
        <w:adjustRightInd w:val="0"/>
        <w:snapToGrid w:val="0"/>
        <w:spacing w:before="0" w:beforeAutospacing="0" w:after="0" w:afterAutospacing="0" w:line="360" w:lineRule="auto"/>
        <w:ind w:firstLine="482" w:firstLineChars="200"/>
        <w:rPr>
          <w:rFonts w:ascii="仿宋" w:hAnsi="仿宋" w:eastAsia="仿宋"/>
          <w:b/>
        </w:rPr>
      </w:pPr>
      <w:r>
        <w:rPr>
          <w:rFonts w:hint="eastAsia" w:ascii="仿宋" w:hAnsi="仿宋" w:eastAsia="仿宋"/>
          <w:b/>
        </w:rPr>
        <w:t>建议：</w:t>
      </w:r>
    </w:p>
    <w:p>
      <w:pPr>
        <w:pStyle w:val="12"/>
        <w:adjustRightInd w:val="0"/>
        <w:snapToGrid w:val="0"/>
        <w:spacing w:before="0" w:beforeAutospacing="0" w:after="0" w:afterAutospacing="0" w:line="360" w:lineRule="auto"/>
        <w:ind w:firstLine="480" w:firstLineChars="200"/>
        <w:rPr>
          <w:rFonts w:ascii="仿宋" w:hAnsi="仿宋" w:eastAsia="仿宋"/>
        </w:rPr>
      </w:pPr>
      <w:r>
        <w:rPr>
          <w:rFonts w:hint="eastAsia" w:ascii="仿宋" w:hAnsi="仿宋" w:eastAsia="仿宋"/>
        </w:rPr>
        <w:t>进一步加强旅游发展专项资金使用管理，确保专项资金列支范围符合规定，资金用途符合计划用途。另外，应进一步规范专项资金财务核算，建立专门明细科目，以清晰完整反映专项资金收支情况。</w:t>
      </w:r>
    </w:p>
    <w:p>
      <w:pPr>
        <w:pStyle w:val="12"/>
        <w:adjustRightInd w:val="0"/>
        <w:snapToGrid w:val="0"/>
        <w:spacing w:before="0" w:beforeAutospacing="0" w:after="0" w:afterAutospacing="0" w:line="360" w:lineRule="auto"/>
        <w:ind w:firstLine="482" w:firstLineChars="200"/>
        <w:rPr>
          <w:rFonts w:ascii="仿宋" w:hAnsi="仿宋" w:eastAsia="仿宋"/>
          <w:b/>
        </w:rPr>
      </w:pPr>
      <w:r>
        <w:rPr>
          <w:rFonts w:ascii="仿宋" w:hAnsi="仿宋" w:eastAsia="仿宋"/>
          <w:b/>
        </w:rPr>
        <w:t>2</w:t>
      </w:r>
      <w:r>
        <w:rPr>
          <w:rFonts w:hint="eastAsia" w:ascii="仿宋" w:hAnsi="仿宋" w:eastAsia="仿宋"/>
          <w:b/>
        </w:rPr>
        <w:t>、切块资金监督管理相对薄弱。</w:t>
      </w:r>
    </w:p>
    <w:p>
      <w:pPr>
        <w:pStyle w:val="12"/>
        <w:adjustRightInd w:val="0"/>
        <w:snapToGrid w:val="0"/>
        <w:spacing w:before="0" w:beforeAutospacing="0" w:after="0" w:afterAutospacing="0" w:line="360" w:lineRule="auto"/>
        <w:ind w:firstLine="480" w:firstLineChars="200"/>
        <w:rPr>
          <w:rFonts w:ascii="仿宋" w:hAnsi="仿宋" w:eastAsia="仿宋"/>
        </w:rPr>
      </w:pPr>
      <w:r>
        <w:rPr>
          <w:rFonts w:hint="eastAsia" w:ascii="仿宋" w:hAnsi="仿宋" w:eastAsia="仿宋"/>
          <w:bCs/>
        </w:rPr>
        <w:t>2</w:t>
      </w:r>
      <w:r>
        <w:rPr>
          <w:rFonts w:ascii="仿宋" w:hAnsi="仿宋" w:eastAsia="仿宋"/>
          <w:bCs/>
        </w:rPr>
        <w:t>019</w:t>
      </w:r>
      <w:r>
        <w:rPr>
          <w:rFonts w:hint="eastAsia" w:ascii="仿宋" w:hAnsi="仿宋" w:eastAsia="仿宋"/>
          <w:bCs/>
        </w:rPr>
        <w:t>年巴南区旅游发展专项资金，按资金安排计划，其中3</w:t>
      </w:r>
      <w:r>
        <w:rPr>
          <w:rFonts w:ascii="仿宋" w:hAnsi="仿宋" w:eastAsia="仿宋"/>
          <w:bCs/>
        </w:rPr>
        <w:t>25</w:t>
      </w:r>
      <w:r>
        <w:rPr>
          <w:rFonts w:hint="eastAsia" w:ascii="仿宋" w:hAnsi="仿宋" w:eastAsia="仿宋"/>
          <w:bCs/>
        </w:rPr>
        <w:t>万元切块交由各镇街/单位实施，</w:t>
      </w:r>
      <w:r>
        <w:rPr>
          <w:rFonts w:hint="eastAsia" w:ascii="仿宋" w:hAnsi="仿宋" w:eastAsia="仿宋"/>
        </w:rPr>
        <w:t>其中丰盛镇2</w:t>
      </w:r>
      <w:r>
        <w:rPr>
          <w:rFonts w:ascii="仿宋" w:hAnsi="仿宋" w:eastAsia="仿宋"/>
        </w:rPr>
        <w:t>00</w:t>
      </w:r>
      <w:r>
        <w:rPr>
          <w:rFonts w:hint="eastAsia" w:ascii="仿宋" w:hAnsi="仿宋" w:eastAsia="仿宋"/>
        </w:rPr>
        <w:t>万元，南温泉风管处5</w:t>
      </w:r>
      <w:r>
        <w:rPr>
          <w:rFonts w:ascii="仿宋" w:hAnsi="仿宋" w:eastAsia="仿宋"/>
        </w:rPr>
        <w:t>0</w:t>
      </w:r>
      <w:r>
        <w:rPr>
          <w:rFonts w:hint="eastAsia" w:ascii="仿宋" w:hAnsi="仿宋" w:eastAsia="仿宋"/>
        </w:rPr>
        <w:t>万元，南泉街道1</w:t>
      </w:r>
      <w:r>
        <w:rPr>
          <w:rFonts w:ascii="仿宋" w:hAnsi="仿宋" w:eastAsia="仿宋"/>
        </w:rPr>
        <w:t>0</w:t>
      </w:r>
      <w:r>
        <w:rPr>
          <w:rFonts w:hint="eastAsia" w:ascii="仿宋" w:hAnsi="仿宋" w:eastAsia="仿宋"/>
        </w:rPr>
        <w:t>万元，天星寺镇4</w:t>
      </w:r>
      <w:r>
        <w:rPr>
          <w:rFonts w:ascii="仿宋" w:hAnsi="仿宋" w:eastAsia="仿宋"/>
        </w:rPr>
        <w:t>0</w:t>
      </w:r>
      <w:r>
        <w:rPr>
          <w:rFonts w:hint="eastAsia" w:ascii="仿宋" w:hAnsi="仿宋" w:eastAsia="仿宋"/>
        </w:rPr>
        <w:t>万元，二圣镇2</w:t>
      </w:r>
      <w:r>
        <w:rPr>
          <w:rFonts w:ascii="仿宋" w:hAnsi="仿宋" w:eastAsia="仿宋"/>
        </w:rPr>
        <w:t>0</w:t>
      </w:r>
      <w:r>
        <w:rPr>
          <w:rFonts w:hint="eastAsia" w:ascii="仿宋" w:hAnsi="仿宋" w:eastAsia="仿宋"/>
        </w:rPr>
        <w:t>万元，惠民街道5万元。</w:t>
      </w:r>
    </w:p>
    <w:p>
      <w:pPr>
        <w:pStyle w:val="12"/>
        <w:adjustRightInd w:val="0"/>
        <w:snapToGrid w:val="0"/>
        <w:spacing w:before="0" w:beforeAutospacing="0" w:after="0" w:afterAutospacing="0" w:line="360" w:lineRule="auto"/>
        <w:ind w:firstLine="480" w:firstLineChars="200"/>
        <w:rPr>
          <w:rFonts w:ascii="仿宋" w:hAnsi="仿宋" w:eastAsia="仿宋"/>
        </w:rPr>
      </w:pPr>
      <w:r>
        <w:rPr>
          <w:rFonts w:hint="eastAsia" w:ascii="仿宋" w:hAnsi="仿宋" w:eastAsia="仿宋"/>
        </w:rPr>
        <w:t>评价发现，切块资金安排的项目由各镇街/单位自行实施并管理，区级层面缺乏对项目实施内容、实施进度以及资金使用情况的监督管理，也未对切块资金相关项目进行区级抽查或验收。</w:t>
      </w:r>
      <w:r>
        <w:rPr>
          <w:rFonts w:hint="eastAsia" w:ascii="仿宋" w:hAnsi="仿宋" w:eastAsia="仿宋"/>
          <w:bCs/>
        </w:rPr>
        <w:t>上述情况表明</w:t>
      </w:r>
      <w:r>
        <w:rPr>
          <w:rFonts w:hint="eastAsia" w:ascii="仿宋" w:hAnsi="仿宋" w:eastAsia="仿宋"/>
        </w:rPr>
        <w:t>对切块资金项目监督管理还相对薄弱。</w:t>
      </w:r>
    </w:p>
    <w:p>
      <w:pPr>
        <w:pStyle w:val="12"/>
        <w:adjustRightInd w:val="0"/>
        <w:snapToGrid w:val="0"/>
        <w:spacing w:before="0" w:beforeAutospacing="0" w:after="0" w:afterAutospacing="0" w:line="360" w:lineRule="auto"/>
        <w:ind w:firstLine="482" w:firstLineChars="200"/>
        <w:rPr>
          <w:rFonts w:ascii="仿宋" w:hAnsi="仿宋" w:eastAsia="仿宋"/>
          <w:b/>
        </w:rPr>
      </w:pPr>
      <w:r>
        <w:rPr>
          <w:rFonts w:hint="eastAsia" w:ascii="仿宋" w:hAnsi="仿宋" w:eastAsia="仿宋"/>
          <w:b/>
        </w:rPr>
        <w:t>建议：</w:t>
      </w:r>
    </w:p>
    <w:p>
      <w:pPr>
        <w:pStyle w:val="12"/>
        <w:adjustRightInd w:val="0"/>
        <w:snapToGrid w:val="0"/>
        <w:spacing w:before="0" w:beforeAutospacing="0" w:after="0" w:afterAutospacing="0" w:line="360" w:lineRule="auto"/>
        <w:ind w:firstLine="480" w:firstLineChars="200"/>
        <w:rPr>
          <w:rFonts w:ascii="仿宋" w:hAnsi="仿宋" w:eastAsia="仿宋"/>
          <w:bCs/>
        </w:rPr>
      </w:pPr>
      <w:r>
        <w:rPr>
          <w:rFonts w:hint="eastAsia" w:ascii="仿宋" w:hAnsi="仿宋" w:eastAsia="仿宋"/>
          <w:bCs/>
        </w:rPr>
        <w:t>重视对切块资金安排项目的管理，加强对项目实施情况、实施进度、资金使用情况的指导和监督，同时建议建立区级抽查或验收机制。</w:t>
      </w:r>
    </w:p>
    <w:p>
      <w:pPr>
        <w:pStyle w:val="12"/>
        <w:adjustRightInd w:val="0"/>
        <w:snapToGrid w:val="0"/>
        <w:spacing w:before="0" w:beforeAutospacing="0" w:after="0" w:afterAutospacing="0" w:line="360" w:lineRule="auto"/>
        <w:ind w:firstLine="482" w:firstLineChars="200"/>
        <w:rPr>
          <w:rFonts w:ascii="仿宋" w:hAnsi="仿宋" w:eastAsia="仿宋"/>
          <w:b/>
        </w:rPr>
      </w:pPr>
      <w:r>
        <w:rPr>
          <w:rFonts w:hint="eastAsia" w:ascii="仿宋" w:hAnsi="仿宋" w:eastAsia="仿宋"/>
          <w:b/>
        </w:rPr>
        <w:t>3、项目整体实施进度较慢。</w:t>
      </w:r>
    </w:p>
    <w:p>
      <w:pPr>
        <w:pStyle w:val="12"/>
        <w:adjustRightInd w:val="0"/>
        <w:snapToGrid w:val="0"/>
        <w:spacing w:before="0" w:beforeAutospacing="0" w:after="0" w:afterAutospacing="0" w:line="360" w:lineRule="auto"/>
        <w:ind w:firstLine="480" w:firstLineChars="200"/>
        <w:rPr>
          <w:rFonts w:ascii="仿宋" w:hAnsi="仿宋" w:eastAsia="仿宋"/>
        </w:rPr>
      </w:pPr>
      <w:r>
        <w:rPr>
          <w:rFonts w:hint="eastAsia" w:ascii="仿宋" w:hAnsi="仿宋" w:eastAsia="仿宋"/>
        </w:rPr>
        <w:t>（1）全域旅游策划工作滞后。全域旅游策划工作列入2019年旅游专项资金项目，但该项目于201</w:t>
      </w:r>
      <w:r>
        <w:rPr>
          <w:rFonts w:ascii="仿宋" w:hAnsi="仿宋" w:eastAsia="仿宋"/>
        </w:rPr>
        <w:t>9</w:t>
      </w:r>
      <w:r>
        <w:rPr>
          <w:rFonts w:hint="eastAsia" w:ascii="仿宋" w:hAnsi="仿宋" w:eastAsia="仿宋"/>
        </w:rPr>
        <w:t>年1</w:t>
      </w:r>
      <w:r>
        <w:rPr>
          <w:rFonts w:ascii="仿宋" w:hAnsi="仿宋" w:eastAsia="仿宋"/>
        </w:rPr>
        <w:t>2</w:t>
      </w:r>
      <w:r>
        <w:rPr>
          <w:rFonts w:hint="eastAsia" w:ascii="仿宋" w:hAnsi="仿宋" w:eastAsia="仿宋"/>
        </w:rPr>
        <w:t>月才完成政府采购并签订合同，截止2</w:t>
      </w:r>
      <w:r>
        <w:rPr>
          <w:rFonts w:ascii="仿宋" w:hAnsi="仿宋" w:eastAsia="仿宋"/>
        </w:rPr>
        <w:t>020</w:t>
      </w:r>
      <w:r>
        <w:rPr>
          <w:rFonts w:hint="eastAsia" w:ascii="仿宋" w:hAnsi="仿宋" w:eastAsia="仿宋"/>
        </w:rPr>
        <w:t>年6月30日，仅提交了第一阶段的成果。全域旅游整合发展与运营策划是巴南区全域旅游开发、建设和管理的长期性、全局性、决策性纲领文件，指导巴南区全域旅游发展方向。根据《关于加快全域旅游发展的实施意见》（巴南委发〔</w:t>
      </w:r>
      <w:r>
        <w:rPr>
          <w:rFonts w:ascii="仿宋" w:hAnsi="仿宋" w:eastAsia="仿宋"/>
        </w:rPr>
        <w:t>201</w:t>
      </w:r>
      <w:r>
        <w:rPr>
          <w:rFonts w:hint="eastAsia" w:ascii="仿宋" w:hAnsi="仿宋" w:eastAsia="仿宋"/>
        </w:rPr>
        <w:t>8〕35号），到2</w:t>
      </w:r>
      <w:r>
        <w:rPr>
          <w:rFonts w:ascii="仿宋" w:hAnsi="仿宋" w:eastAsia="仿宋"/>
        </w:rPr>
        <w:t>020</w:t>
      </w:r>
      <w:r>
        <w:rPr>
          <w:rFonts w:hint="eastAsia" w:ascii="仿宋" w:hAnsi="仿宋" w:eastAsia="仿宋"/>
        </w:rPr>
        <w:t>年巴南区全域旅游发展大格局要基本形成。全域旅游策划工作滞后，或对巴南区全域旅游发展整体推进造成一定影响。</w:t>
      </w:r>
    </w:p>
    <w:p>
      <w:pPr>
        <w:pStyle w:val="12"/>
        <w:adjustRightInd w:val="0"/>
        <w:snapToGrid w:val="0"/>
        <w:spacing w:before="0" w:beforeAutospacing="0" w:after="0" w:afterAutospacing="0" w:line="360" w:lineRule="auto"/>
        <w:ind w:firstLine="480" w:firstLineChars="200"/>
        <w:rPr>
          <w:rFonts w:ascii="仿宋" w:hAnsi="仿宋" w:eastAsia="仿宋"/>
        </w:rPr>
      </w:pPr>
      <w:r>
        <w:rPr>
          <w:rFonts w:hint="eastAsia" w:ascii="仿宋" w:hAnsi="仿宋" w:eastAsia="仿宋"/>
        </w:rPr>
        <w:t>（2）具体项目实施进度较慢。如：丰盛镇实施的丰盛古镇通景公路沿线及核心景区导视导览提升工程，于</w:t>
      </w:r>
      <w:r>
        <w:rPr>
          <w:rFonts w:ascii="仿宋" w:hAnsi="仿宋" w:eastAsia="仿宋"/>
        </w:rPr>
        <w:t>2019</w:t>
      </w:r>
      <w:r>
        <w:rPr>
          <w:rFonts w:hint="eastAsia" w:ascii="仿宋" w:hAnsi="仿宋" w:eastAsia="仿宋"/>
        </w:rPr>
        <w:t>年</w:t>
      </w:r>
      <w:r>
        <w:rPr>
          <w:rFonts w:ascii="仿宋" w:hAnsi="仿宋" w:eastAsia="仿宋"/>
        </w:rPr>
        <w:t>1</w:t>
      </w:r>
      <w:r>
        <w:rPr>
          <w:rFonts w:hint="eastAsia" w:ascii="仿宋" w:hAnsi="仿宋" w:eastAsia="仿宋"/>
        </w:rPr>
        <w:t>月开始设计，但项目于</w:t>
      </w:r>
      <w:r>
        <w:rPr>
          <w:rFonts w:ascii="仿宋" w:hAnsi="仿宋" w:eastAsia="仿宋"/>
        </w:rPr>
        <w:t>2020</w:t>
      </w:r>
      <w:r>
        <w:rPr>
          <w:rFonts w:hint="eastAsia" w:ascii="仿宋" w:hAnsi="仿宋" w:eastAsia="仿宋"/>
        </w:rPr>
        <w:t>年</w:t>
      </w:r>
      <w:r>
        <w:rPr>
          <w:rFonts w:ascii="仿宋" w:hAnsi="仿宋" w:eastAsia="仿宋"/>
        </w:rPr>
        <w:t>6</w:t>
      </w:r>
      <w:r>
        <w:rPr>
          <w:rFonts w:hint="eastAsia" w:ascii="仿宋" w:hAnsi="仿宋" w:eastAsia="仿宋"/>
        </w:rPr>
        <w:t>月</w:t>
      </w:r>
      <w:r>
        <w:rPr>
          <w:rFonts w:ascii="仿宋" w:hAnsi="仿宋" w:eastAsia="仿宋"/>
        </w:rPr>
        <w:t>20</w:t>
      </w:r>
      <w:r>
        <w:rPr>
          <w:rFonts w:hint="eastAsia" w:ascii="仿宋" w:hAnsi="仿宋" w:eastAsia="仿宋"/>
        </w:rPr>
        <w:t>日才完成施工，目前项目验收及结算工作尚未开展。南温泉风景区管理处实施的花滩桥南桥头绿地集中整治项目，截止</w:t>
      </w:r>
      <w:r>
        <w:rPr>
          <w:rFonts w:ascii="仿宋" w:hAnsi="仿宋" w:eastAsia="仿宋"/>
        </w:rPr>
        <w:t>2020</w:t>
      </w:r>
      <w:r>
        <w:rPr>
          <w:rFonts w:hint="eastAsia" w:ascii="仿宋" w:hAnsi="仿宋" w:eastAsia="仿宋"/>
        </w:rPr>
        <w:t>年6月30日项目尚未完工。</w:t>
      </w:r>
    </w:p>
    <w:p>
      <w:pPr>
        <w:pStyle w:val="12"/>
        <w:adjustRightInd w:val="0"/>
        <w:snapToGrid w:val="0"/>
        <w:spacing w:before="0" w:beforeAutospacing="0" w:after="0" w:afterAutospacing="0" w:line="360" w:lineRule="auto"/>
        <w:ind w:firstLine="480" w:firstLineChars="200"/>
        <w:rPr>
          <w:rFonts w:ascii="仿宋" w:hAnsi="仿宋" w:eastAsia="仿宋"/>
          <w:bCs/>
        </w:rPr>
      </w:pPr>
      <w:r>
        <w:rPr>
          <w:rFonts w:hint="eastAsia" w:ascii="仿宋" w:hAnsi="仿宋" w:eastAsia="仿宋"/>
          <w:bCs/>
        </w:rPr>
        <w:t>项目整体实施进度较慢，亦影响专项资金整体支出进度，截止2</w:t>
      </w:r>
      <w:r>
        <w:rPr>
          <w:rFonts w:ascii="仿宋" w:hAnsi="仿宋" w:eastAsia="仿宋"/>
          <w:bCs/>
        </w:rPr>
        <w:t>019</w:t>
      </w:r>
      <w:r>
        <w:rPr>
          <w:rFonts w:hint="eastAsia" w:ascii="仿宋" w:hAnsi="仿宋" w:eastAsia="仿宋"/>
          <w:bCs/>
        </w:rPr>
        <w:t>年1</w:t>
      </w:r>
      <w:r>
        <w:rPr>
          <w:rFonts w:ascii="仿宋" w:hAnsi="仿宋" w:eastAsia="仿宋"/>
          <w:bCs/>
        </w:rPr>
        <w:t>2</w:t>
      </w:r>
      <w:r>
        <w:rPr>
          <w:rFonts w:hint="eastAsia" w:ascii="仿宋" w:hAnsi="仿宋" w:eastAsia="仿宋"/>
          <w:bCs/>
        </w:rPr>
        <w:t>月3</w:t>
      </w:r>
      <w:r>
        <w:rPr>
          <w:rFonts w:ascii="仿宋" w:hAnsi="仿宋" w:eastAsia="仿宋"/>
          <w:bCs/>
        </w:rPr>
        <w:t>1</w:t>
      </w:r>
      <w:r>
        <w:rPr>
          <w:rFonts w:hint="eastAsia" w:ascii="仿宋" w:hAnsi="仿宋" w:eastAsia="仿宋"/>
          <w:bCs/>
        </w:rPr>
        <w:t>日，旅游发展专项资金1500万元实际共支出1</w:t>
      </w:r>
      <w:r>
        <w:rPr>
          <w:rFonts w:ascii="仿宋" w:hAnsi="仿宋" w:eastAsia="仿宋"/>
          <w:bCs/>
        </w:rPr>
        <w:t>045.23</w:t>
      </w:r>
      <w:r>
        <w:rPr>
          <w:rFonts w:hint="eastAsia" w:ascii="仿宋" w:hAnsi="仿宋" w:eastAsia="仿宋"/>
          <w:bCs/>
        </w:rPr>
        <w:t>万元，支出比例6</w:t>
      </w:r>
      <w:r>
        <w:rPr>
          <w:rFonts w:ascii="仿宋" w:hAnsi="仿宋" w:eastAsia="仿宋"/>
          <w:bCs/>
        </w:rPr>
        <w:t>9.68</w:t>
      </w:r>
      <w:r>
        <w:rPr>
          <w:rFonts w:hint="eastAsia" w:ascii="仿宋" w:hAnsi="仿宋" w:eastAsia="仿宋"/>
          <w:bCs/>
        </w:rPr>
        <w:t>%。</w:t>
      </w:r>
    </w:p>
    <w:p>
      <w:pPr>
        <w:pStyle w:val="12"/>
        <w:adjustRightInd w:val="0"/>
        <w:snapToGrid w:val="0"/>
        <w:spacing w:before="0" w:beforeAutospacing="0" w:after="0" w:afterAutospacing="0" w:line="360" w:lineRule="auto"/>
        <w:ind w:firstLine="482" w:firstLineChars="200"/>
        <w:rPr>
          <w:rFonts w:ascii="仿宋" w:hAnsi="仿宋" w:eastAsia="仿宋"/>
          <w:b/>
        </w:rPr>
      </w:pPr>
      <w:r>
        <w:rPr>
          <w:rFonts w:hint="eastAsia" w:ascii="仿宋" w:hAnsi="仿宋" w:eastAsia="仿宋"/>
          <w:b/>
        </w:rPr>
        <w:t>建议：</w:t>
      </w:r>
    </w:p>
    <w:p>
      <w:pPr>
        <w:pStyle w:val="12"/>
        <w:adjustRightInd w:val="0"/>
        <w:snapToGrid w:val="0"/>
        <w:spacing w:before="0" w:beforeAutospacing="0" w:after="0" w:afterAutospacing="0" w:line="360" w:lineRule="auto"/>
        <w:ind w:firstLine="480" w:firstLineChars="200"/>
        <w:rPr>
          <w:rFonts w:ascii="仿宋" w:hAnsi="仿宋" w:eastAsia="仿宋"/>
        </w:rPr>
      </w:pPr>
      <w:r>
        <w:rPr>
          <w:rFonts w:hint="eastAsia" w:ascii="仿宋" w:hAnsi="仿宋" w:eastAsia="仿宋"/>
        </w:rPr>
        <w:t>高度重视全域旅游策划工作，加快进度高质量完成，以尽快指导巴南区全域旅游按蓝图有序推进。针对具体项目，应进一步加强各环节时间管理，切实提高执行效率，尽快让项目交付使用及时发挥效益。</w:t>
      </w:r>
    </w:p>
    <w:p>
      <w:pPr>
        <w:pStyle w:val="12"/>
        <w:adjustRightInd w:val="0"/>
        <w:snapToGrid w:val="0"/>
        <w:spacing w:before="0" w:beforeAutospacing="0" w:after="0" w:afterAutospacing="0" w:line="360" w:lineRule="auto"/>
        <w:ind w:firstLine="482" w:firstLineChars="200"/>
        <w:rPr>
          <w:rFonts w:ascii="仿宋" w:hAnsi="仿宋" w:eastAsia="仿宋"/>
          <w:b/>
        </w:rPr>
      </w:pPr>
      <w:r>
        <w:rPr>
          <w:rFonts w:hint="eastAsia" w:ascii="仿宋" w:hAnsi="仿宋" w:eastAsia="仿宋"/>
          <w:b/>
        </w:rPr>
        <w:t>4、计划项目存在调整。</w:t>
      </w:r>
    </w:p>
    <w:p>
      <w:pPr>
        <w:pStyle w:val="12"/>
        <w:adjustRightInd w:val="0"/>
        <w:snapToGrid w:val="0"/>
        <w:spacing w:before="0" w:beforeAutospacing="0" w:after="0" w:afterAutospacing="0" w:line="360" w:lineRule="auto"/>
        <w:ind w:firstLine="480" w:firstLineChars="200"/>
        <w:rPr>
          <w:rFonts w:ascii="仿宋" w:hAnsi="仿宋" w:eastAsia="仿宋"/>
          <w:bCs/>
        </w:rPr>
      </w:pPr>
      <w:r>
        <w:rPr>
          <w:rFonts w:ascii="仿宋" w:hAnsi="仿宋" w:eastAsia="仿宋"/>
          <w:bCs/>
        </w:rPr>
        <w:t>2019</w:t>
      </w:r>
      <w:r>
        <w:rPr>
          <w:rFonts w:hint="eastAsia" w:ascii="仿宋" w:hAnsi="仿宋" w:eastAsia="仿宋"/>
          <w:bCs/>
        </w:rPr>
        <w:t>年计划实施的项目调减的包括：（1）旅游环线定制公交补助100万元暂不实施，原因为经过调研目前开通的公交车基本满足现有游客需求，旅游环线定制公交补助项目暂无需实施。（2）旅游行业培训项目调减3</w:t>
      </w:r>
      <w:r>
        <w:rPr>
          <w:rFonts w:ascii="仿宋" w:hAnsi="仿宋" w:eastAsia="仿宋"/>
          <w:bCs/>
        </w:rPr>
        <w:t>0</w:t>
      </w:r>
      <w:r>
        <w:rPr>
          <w:rFonts w:hint="eastAsia" w:ascii="仿宋" w:hAnsi="仿宋" w:eastAsia="仿宋"/>
          <w:bCs/>
        </w:rPr>
        <w:t>万元，原因为2</w:t>
      </w:r>
      <w:r>
        <w:rPr>
          <w:rFonts w:ascii="仿宋" w:hAnsi="仿宋" w:eastAsia="仿宋"/>
          <w:bCs/>
        </w:rPr>
        <w:t>019</w:t>
      </w:r>
      <w:r>
        <w:rPr>
          <w:rFonts w:hint="eastAsia" w:ascii="仿宋" w:hAnsi="仿宋" w:eastAsia="仿宋"/>
          <w:bCs/>
        </w:rPr>
        <w:t>年度培训工作由区文旅委和区农委共同实施，费用由两个单位分摊故调减3</w:t>
      </w:r>
      <w:r>
        <w:rPr>
          <w:rFonts w:ascii="仿宋" w:hAnsi="仿宋" w:eastAsia="仿宋"/>
          <w:bCs/>
        </w:rPr>
        <w:t>0</w:t>
      </w:r>
      <w:r>
        <w:rPr>
          <w:rFonts w:hint="eastAsia" w:ascii="仿宋" w:hAnsi="仿宋" w:eastAsia="仿宋"/>
          <w:bCs/>
        </w:rPr>
        <w:t>万元。（3）精品景区提档升级工程调减</w:t>
      </w:r>
      <w:r>
        <w:rPr>
          <w:rFonts w:ascii="仿宋" w:hAnsi="仿宋" w:eastAsia="仿宋"/>
          <w:bCs/>
        </w:rPr>
        <w:t>80</w:t>
      </w:r>
      <w:r>
        <w:rPr>
          <w:rFonts w:hint="eastAsia" w:ascii="仿宋" w:hAnsi="仿宋" w:eastAsia="仿宋"/>
          <w:bCs/>
        </w:rPr>
        <w:t>万元，其中2</w:t>
      </w:r>
      <w:r>
        <w:rPr>
          <w:rFonts w:ascii="仿宋" w:hAnsi="仿宋" w:eastAsia="仿宋"/>
          <w:bCs/>
        </w:rPr>
        <w:t>0</w:t>
      </w:r>
      <w:r>
        <w:rPr>
          <w:rFonts w:hint="eastAsia" w:ascii="仿宋" w:hAnsi="仿宋" w:eastAsia="仿宋"/>
          <w:bCs/>
        </w:rPr>
        <w:t>万元调减原因为精品景区提档升级工程中的标识标牌工作，因待安装路段目前基础工程还未完工，无法进行安装，故暂不实施；另外6</w:t>
      </w:r>
      <w:r>
        <w:rPr>
          <w:rFonts w:ascii="仿宋" w:hAnsi="仿宋" w:eastAsia="仿宋"/>
          <w:bCs/>
        </w:rPr>
        <w:t>0</w:t>
      </w:r>
      <w:r>
        <w:rPr>
          <w:rFonts w:hint="eastAsia" w:ascii="仿宋" w:hAnsi="仿宋" w:eastAsia="仿宋"/>
          <w:bCs/>
        </w:rPr>
        <w:t>万元调整用于南温泉景区环境整治及品质提升工作。</w:t>
      </w:r>
    </w:p>
    <w:p>
      <w:pPr>
        <w:pStyle w:val="12"/>
        <w:adjustRightInd w:val="0"/>
        <w:snapToGrid w:val="0"/>
        <w:spacing w:before="0" w:beforeAutospacing="0" w:after="0" w:afterAutospacing="0" w:line="360" w:lineRule="auto"/>
        <w:ind w:firstLine="480" w:firstLineChars="200"/>
        <w:rPr>
          <w:rFonts w:ascii="仿宋" w:hAnsi="仿宋" w:eastAsia="仿宋"/>
          <w:bCs/>
        </w:rPr>
      </w:pPr>
      <w:r>
        <w:rPr>
          <w:rFonts w:ascii="仿宋" w:hAnsi="仿宋" w:eastAsia="仿宋"/>
          <w:bCs/>
        </w:rPr>
        <w:t>2019</w:t>
      </w:r>
      <w:r>
        <w:rPr>
          <w:rFonts w:hint="eastAsia" w:ascii="仿宋" w:hAnsi="仿宋" w:eastAsia="仿宋"/>
          <w:bCs/>
        </w:rPr>
        <w:t>年调增的项目包括：（1）全域旅游策划项目由50万元调整为200万元。（2）增加实施南温泉景区环境整治及品质提升工作6</w:t>
      </w:r>
      <w:r>
        <w:rPr>
          <w:rFonts w:ascii="仿宋" w:hAnsi="仿宋" w:eastAsia="仿宋"/>
          <w:bCs/>
        </w:rPr>
        <w:t>0</w:t>
      </w:r>
      <w:r>
        <w:rPr>
          <w:rFonts w:hint="eastAsia" w:ascii="仿宋" w:hAnsi="仿宋" w:eastAsia="仿宋"/>
          <w:bCs/>
        </w:rPr>
        <w:t>万元。</w:t>
      </w:r>
    </w:p>
    <w:p>
      <w:pPr>
        <w:pStyle w:val="12"/>
        <w:adjustRightInd w:val="0"/>
        <w:snapToGrid w:val="0"/>
        <w:spacing w:before="0" w:beforeAutospacing="0" w:after="0" w:afterAutospacing="0" w:line="360" w:lineRule="auto"/>
        <w:ind w:firstLine="480" w:firstLineChars="200"/>
        <w:rPr>
          <w:rFonts w:ascii="仿宋" w:hAnsi="仿宋" w:eastAsia="仿宋"/>
          <w:bCs/>
        </w:rPr>
      </w:pPr>
      <w:r>
        <w:rPr>
          <w:rFonts w:hint="eastAsia" w:ascii="仿宋" w:hAnsi="仿宋" w:eastAsia="仿宋"/>
          <w:bCs/>
        </w:rPr>
        <w:t>上述情况表明，计划安排项目的前期论证工作还不充分，对项目实施的必要性、合理性、可行性、资金测算以及实施条件等论证不足。</w:t>
      </w:r>
    </w:p>
    <w:p>
      <w:pPr>
        <w:pStyle w:val="12"/>
        <w:adjustRightInd w:val="0"/>
        <w:snapToGrid w:val="0"/>
        <w:spacing w:before="0" w:beforeAutospacing="0" w:after="0" w:afterAutospacing="0" w:line="360" w:lineRule="auto"/>
        <w:ind w:firstLine="482" w:firstLineChars="200"/>
        <w:rPr>
          <w:rFonts w:ascii="仿宋" w:hAnsi="仿宋" w:eastAsia="仿宋"/>
          <w:b/>
        </w:rPr>
      </w:pPr>
      <w:r>
        <w:rPr>
          <w:rFonts w:hint="eastAsia" w:ascii="仿宋" w:hAnsi="仿宋" w:eastAsia="仿宋"/>
          <w:b/>
        </w:rPr>
        <w:t>建议：</w:t>
      </w:r>
    </w:p>
    <w:p>
      <w:pPr>
        <w:pStyle w:val="12"/>
        <w:adjustRightInd w:val="0"/>
        <w:snapToGrid w:val="0"/>
        <w:spacing w:before="0" w:beforeAutospacing="0" w:after="0" w:afterAutospacing="0" w:line="360" w:lineRule="auto"/>
        <w:ind w:firstLine="480" w:firstLineChars="200"/>
        <w:rPr>
          <w:rFonts w:ascii="仿宋" w:hAnsi="仿宋" w:eastAsia="仿宋"/>
          <w:bCs/>
        </w:rPr>
      </w:pPr>
      <w:r>
        <w:rPr>
          <w:rFonts w:hint="eastAsia" w:ascii="仿宋" w:hAnsi="仿宋" w:eastAsia="仿宋"/>
          <w:bCs/>
        </w:rPr>
        <w:t>针对旅游发展专项资金，建议分项目类别建立项目库，逐步完善项目申报、评审机制，加强申报项目的前期规划论证工作，增强实施方案的科学合理性、可行性和可靠性，明确细化各项经费预算。在此基础上，根据年度目标任务和项目轻重缓急合理安排资金项目，增强资金项目安排的精准性，减少实施过程中调整变更情况。</w:t>
      </w:r>
    </w:p>
    <w:p>
      <w:pPr>
        <w:pStyle w:val="12"/>
        <w:adjustRightInd w:val="0"/>
        <w:snapToGrid w:val="0"/>
        <w:spacing w:before="0" w:beforeAutospacing="0" w:after="0" w:afterAutospacing="0" w:line="360" w:lineRule="auto"/>
        <w:ind w:firstLine="482" w:firstLineChars="200"/>
        <w:rPr>
          <w:rFonts w:ascii="仿宋" w:hAnsi="仿宋" w:eastAsia="仿宋"/>
          <w:b/>
        </w:rPr>
      </w:pPr>
      <w:r>
        <w:rPr>
          <w:rFonts w:hint="eastAsia" w:ascii="仿宋" w:hAnsi="仿宋" w:eastAsia="仿宋"/>
          <w:b/>
        </w:rPr>
        <w:t>5、绩效目标设置和自评不规范。</w:t>
      </w:r>
    </w:p>
    <w:p>
      <w:pPr>
        <w:pStyle w:val="12"/>
        <w:adjustRightInd w:val="0"/>
        <w:snapToGrid w:val="0"/>
        <w:spacing w:before="0" w:beforeAutospacing="0" w:after="0" w:afterAutospacing="0" w:line="360" w:lineRule="auto"/>
        <w:ind w:firstLine="480" w:firstLineChars="200"/>
        <w:rPr>
          <w:rFonts w:ascii="仿宋" w:hAnsi="仿宋" w:eastAsia="仿宋"/>
          <w:bCs/>
        </w:rPr>
      </w:pPr>
      <w:r>
        <w:rPr>
          <w:rFonts w:hint="eastAsia" w:ascii="仿宋" w:hAnsi="仿宋" w:eastAsia="仿宋"/>
          <w:bCs/>
        </w:rPr>
        <w:t>2019年度旅游发展专项资金，年初虽然按要求进行了项目绩效目标申报，年末也进行了绩效目标自评。但绩效目标设置和自评工作均不规范。一是绩效目标申报表和绩效目标自评表中，产出指标未与资金安排项目结合，存在缺项漏项，产出指标与资金量和项目情况严重不匹配。二是绩效自评表中项目资金全年预算数应为1500万元，却填写为实际执行数863.21万元。三是绩效自评表中将年度工作任务作为年度总体目标不恰当。四是绩效指标中未设置满意度指标。</w:t>
      </w:r>
    </w:p>
    <w:p>
      <w:pPr>
        <w:pStyle w:val="12"/>
        <w:adjustRightInd w:val="0"/>
        <w:snapToGrid w:val="0"/>
        <w:spacing w:before="0" w:beforeAutospacing="0" w:after="0" w:afterAutospacing="0" w:line="360" w:lineRule="auto"/>
        <w:ind w:firstLine="480" w:firstLineChars="200"/>
        <w:rPr>
          <w:rFonts w:ascii="仿宋" w:hAnsi="仿宋" w:eastAsia="仿宋"/>
          <w:bCs/>
        </w:rPr>
      </w:pPr>
      <w:r>
        <w:rPr>
          <w:rFonts w:hint="eastAsia" w:ascii="仿宋" w:hAnsi="仿宋" w:eastAsia="仿宋"/>
          <w:bCs/>
        </w:rPr>
        <w:t>上述情况导致，不论是绩效目标申报还是绩效目标自评，均未充分体现该专项资金及实施项目的核心成效情况，也不能体现成效与资金项目的关联情况。</w:t>
      </w:r>
    </w:p>
    <w:p>
      <w:pPr>
        <w:pStyle w:val="12"/>
        <w:adjustRightInd w:val="0"/>
        <w:snapToGrid w:val="0"/>
        <w:spacing w:before="0" w:beforeAutospacing="0" w:after="0" w:afterAutospacing="0" w:line="360" w:lineRule="auto"/>
        <w:ind w:firstLine="482" w:firstLineChars="200"/>
        <w:rPr>
          <w:rFonts w:ascii="仿宋" w:hAnsi="仿宋" w:eastAsia="仿宋"/>
          <w:b/>
        </w:rPr>
      </w:pPr>
      <w:r>
        <w:rPr>
          <w:rFonts w:hint="eastAsia" w:ascii="仿宋" w:hAnsi="仿宋" w:eastAsia="仿宋"/>
          <w:b/>
        </w:rPr>
        <w:t>建议：</w:t>
      </w:r>
    </w:p>
    <w:p>
      <w:pPr>
        <w:adjustRightInd w:val="0"/>
        <w:snapToGrid w:val="0"/>
        <w:spacing w:line="360" w:lineRule="auto"/>
        <w:ind w:firstLine="480" w:firstLineChars="200"/>
        <w:rPr>
          <w:rFonts w:ascii="仿宋" w:hAnsi="仿宋" w:eastAsia="仿宋"/>
          <w:bCs/>
          <w:sz w:val="24"/>
        </w:rPr>
      </w:pPr>
      <w:r>
        <w:rPr>
          <w:rFonts w:hint="eastAsia" w:ascii="仿宋" w:hAnsi="仿宋" w:eastAsia="仿宋"/>
          <w:bCs/>
          <w:sz w:val="24"/>
        </w:rPr>
        <w:t>高度重视资金项目绩效，重视绩效目标设置和自评工作，加强部门和项目申报单位对预算绩效管理政策的培训和指导，逐步强化绩效目标设置的规范合理性，逐步加强项目绩效目标审核把关工作。同时还应逐步强化绩效目标自评工作的规范性。</w:t>
      </w:r>
    </w:p>
    <w:p>
      <w:pPr>
        <w:pStyle w:val="12"/>
        <w:adjustRightInd w:val="0"/>
        <w:snapToGrid w:val="0"/>
        <w:spacing w:before="0" w:beforeAutospacing="0" w:after="0" w:afterAutospacing="0" w:line="360" w:lineRule="auto"/>
        <w:ind w:firstLine="482" w:firstLineChars="200"/>
        <w:rPr>
          <w:rFonts w:ascii="仿宋" w:hAnsi="仿宋" w:eastAsia="仿宋"/>
          <w:b/>
        </w:rPr>
      </w:pPr>
      <w:r>
        <w:rPr>
          <w:rFonts w:hint="eastAsia" w:ascii="仿宋" w:hAnsi="仿宋" w:eastAsia="仿宋"/>
          <w:b/>
        </w:rPr>
        <w:t>五、综合评价情况及评价结论</w:t>
      </w:r>
    </w:p>
    <w:p>
      <w:pPr>
        <w:tabs>
          <w:tab w:val="center" w:pos="4396"/>
        </w:tabs>
        <w:autoSpaceDE w:val="0"/>
        <w:autoSpaceDN w:val="0"/>
        <w:adjustRightInd w:val="0"/>
        <w:snapToGrid w:val="0"/>
        <w:spacing w:line="360" w:lineRule="auto"/>
        <w:ind w:firstLine="482" w:firstLineChars="200"/>
        <w:rPr>
          <w:rFonts w:ascii="仿宋" w:hAnsi="仿宋" w:eastAsia="仿宋"/>
          <w:b/>
          <w:bCs/>
          <w:sz w:val="24"/>
        </w:rPr>
      </w:pPr>
      <w:r>
        <w:rPr>
          <w:rFonts w:hint="eastAsia" w:ascii="仿宋" w:hAnsi="仿宋" w:eastAsia="仿宋" w:cs="宋体"/>
          <w:b/>
          <w:bCs/>
          <w:sz w:val="24"/>
        </w:rPr>
        <w:t>（一）评分情况</w:t>
      </w:r>
    </w:p>
    <w:p>
      <w:pPr>
        <w:tabs>
          <w:tab w:val="center" w:pos="4396"/>
        </w:tabs>
        <w:autoSpaceDE w:val="0"/>
        <w:autoSpaceDN w:val="0"/>
        <w:adjustRightInd w:val="0"/>
        <w:snapToGrid w:val="0"/>
        <w:spacing w:line="360" w:lineRule="auto"/>
        <w:ind w:firstLine="480" w:firstLineChars="200"/>
        <w:rPr>
          <w:rFonts w:ascii="仿宋" w:hAnsi="仿宋" w:eastAsia="仿宋" w:cs="宋体"/>
          <w:sz w:val="24"/>
          <w:highlight w:val="yellow"/>
        </w:rPr>
      </w:pPr>
      <w:bookmarkStart w:id="7" w:name="_Hlk45107628"/>
      <w:r>
        <w:rPr>
          <w:rFonts w:hint="eastAsia" w:ascii="仿宋" w:hAnsi="仿宋" w:eastAsia="仿宋" w:cs="宋体"/>
          <w:sz w:val="24"/>
        </w:rPr>
        <w:t>通过评价小组综合评价，</w:t>
      </w:r>
      <w:r>
        <w:rPr>
          <w:rFonts w:ascii="仿宋" w:hAnsi="仿宋" w:eastAsia="仿宋" w:cs="宋体"/>
          <w:sz w:val="24"/>
        </w:rPr>
        <w:t>2019</w:t>
      </w:r>
      <w:r>
        <w:rPr>
          <w:rFonts w:hint="eastAsia" w:ascii="仿宋" w:hAnsi="仿宋" w:eastAsia="仿宋" w:cs="宋体"/>
          <w:sz w:val="24"/>
        </w:rPr>
        <w:t xml:space="preserve">年巴南区旅游发展专项资金综合得分为 </w:t>
      </w:r>
      <w:r>
        <w:rPr>
          <w:rFonts w:ascii="仿宋" w:hAnsi="仿宋" w:eastAsia="仿宋" w:cs="宋体"/>
          <w:sz w:val="24"/>
          <w:u w:val="single"/>
        </w:rPr>
        <w:t xml:space="preserve"> 86.5 </w:t>
      </w:r>
      <w:r>
        <w:rPr>
          <w:rFonts w:hint="eastAsia" w:ascii="仿宋" w:hAnsi="仿宋" w:eastAsia="仿宋" w:cs="宋体"/>
          <w:sz w:val="24"/>
        </w:rPr>
        <w:t>分，评价等级为：</w:t>
      </w:r>
      <w:r>
        <w:rPr>
          <w:rFonts w:hint="eastAsia" w:ascii="仿宋" w:hAnsi="仿宋" w:eastAsia="仿宋" w:cs="宋体"/>
          <w:sz w:val="24"/>
          <w:u w:val="single"/>
        </w:rPr>
        <w:t xml:space="preserve"> 良 </w:t>
      </w:r>
      <w:r>
        <w:rPr>
          <w:rFonts w:hint="eastAsia" w:ascii="仿宋" w:hAnsi="仿宋" w:eastAsia="仿宋" w:cs="宋体"/>
          <w:sz w:val="24"/>
        </w:rPr>
        <w:t>，具体评分情况如下</w:t>
      </w:r>
      <w:r>
        <w:rPr>
          <w:rFonts w:ascii="仿宋" w:hAnsi="仿宋" w:eastAsia="仿宋" w:cs="宋体"/>
          <w:sz w:val="24"/>
        </w:rPr>
        <w:t>:</w:t>
      </w:r>
    </w:p>
    <w:p>
      <w:pPr>
        <w:pStyle w:val="12"/>
        <w:adjustRightInd w:val="0"/>
        <w:snapToGrid w:val="0"/>
        <w:spacing w:before="0" w:beforeAutospacing="0" w:after="0" w:afterAutospacing="0" w:line="360" w:lineRule="auto"/>
        <w:jc w:val="center"/>
        <w:rPr>
          <w:rFonts w:ascii="仿宋" w:hAnsi="仿宋" w:eastAsia="仿宋"/>
          <w:b/>
          <w:color w:val="FF0000"/>
        </w:rPr>
      </w:pPr>
      <w:bookmarkStart w:id="8" w:name="_MON_1656854236"/>
      <w:bookmarkEnd w:id="8"/>
      <w:r>
        <w:rPr>
          <w:rFonts w:ascii="仿宋" w:hAnsi="仿宋" w:eastAsia="仿宋"/>
          <w:color w:val="FF0000"/>
        </w:rPr>
        <w:object>
          <v:shape id="_x0000_i1028" o:spt="75" type="#_x0000_t75" style="height:117pt;width:358pt;" o:ole="t" filled="f" o:preferrelative="t" stroked="f" coordsize="21600,21600">
            <v:path/>
            <v:fill on="f" focussize="0,0"/>
            <v:stroke on="f" joinstyle="miter"/>
            <v:imagedata r:id="rId15" o:title=""/>
            <o:lock v:ext="edit" aspectratio="t"/>
            <w10:wrap type="none"/>
            <w10:anchorlock/>
          </v:shape>
          <o:OLEObject Type="Embed" ProgID="Excel.Sheet.12" ShapeID="_x0000_i1028" DrawAspect="Content" ObjectID="_1468075728" r:id="rId14">
            <o:LockedField>false</o:LockedField>
          </o:OLEObject>
        </w:object>
      </w:r>
    </w:p>
    <w:p>
      <w:pPr>
        <w:tabs>
          <w:tab w:val="center" w:pos="4396"/>
        </w:tabs>
        <w:autoSpaceDE w:val="0"/>
        <w:autoSpaceDN w:val="0"/>
        <w:adjustRightInd w:val="0"/>
        <w:snapToGrid w:val="0"/>
        <w:spacing w:line="360" w:lineRule="auto"/>
        <w:ind w:firstLine="482" w:firstLineChars="200"/>
        <w:rPr>
          <w:rFonts w:ascii="仿宋" w:hAnsi="仿宋" w:eastAsia="仿宋"/>
          <w:b/>
          <w:bCs/>
          <w:sz w:val="24"/>
        </w:rPr>
      </w:pPr>
      <w:r>
        <w:rPr>
          <w:rFonts w:hint="eastAsia" w:ascii="仿宋" w:hAnsi="仿宋" w:eastAsia="仿宋" w:cs="宋体"/>
          <w:b/>
          <w:bCs/>
          <w:sz w:val="24"/>
        </w:rPr>
        <w:t>（二）综合结论</w:t>
      </w:r>
    </w:p>
    <w:p>
      <w:pPr>
        <w:adjustRightInd w:val="0"/>
        <w:snapToGrid w:val="0"/>
        <w:spacing w:line="360" w:lineRule="auto"/>
        <w:ind w:firstLine="470" w:firstLineChars="196"/>
        <w:rPr>
          <w:rFonts w:ascii="仿宋" w:hAnsi="仿宋" w:eastAsia="仿宋" w:cs="宋体"/>
          <w:sz w:val="24"/>
        </w:rPr>
      </w:pPr>
      <w:r>
        <w:rPr>
          <w:rFonts w:hint="eastAsia" w:ascii="仿宋" w:hAnsi="仿宋" w:eastAsia="仿宋" w:cs="宋体"/>
          <w:sz w:val="24"/>
        </w:rPr>
        <w:t>通过绩效分析，综合评价认为：</w:t>
      </w:r>
    </w:p>
    <w:bookmarkEnd w:id="7"/>
    <w:p>
      <w:pPr>
        <w:pStyle w:val="12"/>
        <w:adjustRightInd w:val="0"/>
        <w:snapToGrid w:val="0"/>
        <w:spacing w:before="0" w:beforeAutospacing="0" w:after="0" w:afterAutospacing="0" w:line="360" w:lineRule="auto"/>
        <w:ind w:firstLine="480" w:firstLineChars="200"/>
        <w:rPr>
          <w:rFonts w:ascii="仿宋" w:hAnsi="仿宋" w:eastAsia="仿宋"/>
          <w:kern w:val="2"/>
        </w:rPr>
      </w:pPr>
      <w:r>
        <w:rPr>
          <w:rFonts w:ascii="仿宋" w:hAnsi="仿宋" w:eastAsia="仿宋"/>
          <w:kern w:val="2"/>
        </w:rPr>
        <w:t>2019</w:t>
      </w:r>
      <w:r>
        <w:rPr>
          <w:rFonts w:hint="eastAsia" w:ascii="仿宋" w:hAnsi="仿宋" w:eastAsia="仿宋"/>
          <w:kern w:val="2"/>
        </w:rPr>
        <w:t>年巴南区旅游发展专项资金项目的实施，对提升巴南区旅游知名度和美誉度，加快推进巴南区全域旅游发展起到了积极作用。年度接待旅游人次和旅游综合收入均完成年度目标任务，取得较好成效。但项目实施也存在部分问题和不足，包括：部分资金列支不规范、切块资金监督管理相对薄弱、项目整体实施进度较慢、计划项目存在调整、绩效目标设置和自评不规范等，需在后续工作中不断总结改进和完善。</w:t>
      </w:r>
    </w:p>
    <w:p>
      <w:pPr>
        <w:tabs>
          <w:tab w:val="center" w:pos="4396"/>
        </w:tabs>
        <w:autoSpaceDE w:val="0"/>
        <w:autoSpaceDN w:val="0"/>
        <w:adjustRightInd w:val="0"/>
        <w:snapToGrid w:val="0"/>
        <w:spacing w:line="360" w:lineRule="auto"/>
        <w:rPr>
          <w:rFonts w:ascii="宋体" w:hAnsi="宋体" w:eastAsia="宋体"/>
          <w:b/>
          <w:color w:val="FF0000"/>
          <w:sz w:val="24"/>
        </w:rPr>
      </w:pPr>
    </w:p>
    <w:p>
      <w:pPr>
        <w:tabs>
          <w:tab w:val="center" w:pos="4396"/>
        </w:tabs>
        <w:autoSpaceDE w:val="0"/>
        <w:autoSpaceDN w:val="0"/>
        <w:adjustRightInd w:val="0"/>
        <w:snapToGrid w:val="0"/>
        <w:spacing w:line="360" w:lineRule="auto"/>
        <w:rPr>
          <w:rFonts w:ascii="宋体" w:hAnsi="宋体" w:eastAsia="宋体"/>
          <w:b/>
          <w:color w:val="FF0000"/>
          <w:sz w:val="24"/>
        </w:rPr>
      </w:pPr>
    </w:p>
    <w:p>
      <w:pPr>
        <w:tabs>
          <w:tab w:val="center" w:pos="4396"/>
        </w:tabs>
        <w:autoSpaceDE w:val="0"/>
        <w:autoSpaceDN w:val="0"/>
        <w:adjustRightInd w:val="0"/>
        <w:snapToGrid w:val="0"/>
        <w:spacing w:line="360" w:lineRule="auto"/>
        <w:rPr>
          <w:rFonts w:ascii="宋体" w:hAnsi="宋体" w:eastAsia="宋体"/>
          <w:b/>
          <w:color w:val="FF0000"/>
          <w:sz w:val="24"/>
        </w:rPr>
      </w:pPr>
    </w:p>
    <w:p>
      <w:pPr>
        <w:tabs>
          <w:tab w:val="center" w:pos="4396"/>
        </w:tabs>
        <w:autoSpaceDE w:val="0"/>
        <w:autoSpaceDN w:val="0"/>
        <w:adjustRightInd w:val="0"/>
        <w:snapToGrid w:val="0"/>
        <w:spacing w:line="360" w:lineRule="auto"/>
        <w:rPr>
          <w:rFonts w:ascii="宋体" w:hAnsi="宋体" w:eastAsia="宋体"/>
          <w:b/>
          <w:color w:val="FF0000"/>
          <w:sz w:val="24"/>
        </w:rPr>
      </w:pPr>
    </w:p>
    <w:p>
      <w:pPr>
        <w:tabs>
          <w:tab w:val="center" w:pos="4396"/>
        </w:tabs>
        <w:autoSpaceDE w:val="0"/>
        <w:autoSpaceDN w:val="0"/>
        <w:adjustRightInd w:val="0"/>
        <w:snapToGrid w:val="0"/>
        <w:spacing w:line="360" w:lineRule="auto"/>
        <w:ind w:left="660" w:leftChars="200" w:hanging="240" w:hangingChars="100"/>
        <w:rPr>
          <w:rFonts w:ascii="仿宋" w:hAnsi="仿宋" w:eastAsia="仿宋"/>
          <w:bCs/>
          <w:sz w:val="24"/>
        </w:rPr>
      </w:pPr>
      <w:r>
        <w:rPr>
          <w:rFonts w:hint="eastAsia" w:ascii="仿宋" w:hAnsi="仿宋" w:eastAsia="仿宋"/>
          <w:bCs/>
          <w:sz w:val="24"/>
        </w:rPr>
        <w:t>附件：</w:t>
      </w:r>
      <w:r>
        <w:rPr>
          <w:rFonts w:ascii="仿宋" w:hAnsi="仿宋" w:eastAsia="仿宋"/>
          <w:bCs/>
          <w:sz w:val="24"/>
        </w:rPr>
        <w:t>2019</w:t>
      </w:r>
      <w:r>
        <w:rPr>
          <w:rFonts w:hint="eastAsia" w:ascii="仿宋" w:hAnsi="仿宋" w:eastAsia="仿宋"/>
          <w:bCs/>
          <w:sz w:val="24"/>
        </w:rPr>
        <w:t>年巴南区旅游发展专项资金绩效评价指标表</w:t>
      </w:r>
    </w:p>
    <w:p>
      <w:pPr>
        <w:tabs>
          <w:tab w:val="center" w:pos="4396"/>
        </w:tabs>
        <w:autoSpaceDE w:val="0"/>
        <w:autoSpaceDN w:val="0"/>
        <w:adjustRightInd w:val="0"/>
        <w:snapToGrid w:val="0"/>
        <w:spacing w:line="360" w:lineRule="auto"/>
        <w:ind w:firstLine="3960" w:firstLineChars="1650"/>
        <w:rPr>
          <w:rFonts w:ascii="仿宋" w:hAnsi="仿宋" w:eastAsia="仿宋"/>
          <w:sz w:val="24"/>
        </w:rPr>
      </w:pPr>
    </w:p>
    <w:p>
      <w:pPr>
        <w:tabs>
          <w:tab w:val="center" w:pos="4396"/>
        </w:tabs>
        <w:autoSpaceDE w:val="0"/>
        <w:autoSpaceDN w:val="0"/>
        <w:adjustRightInd w:val="0"/>
        <w:snapToGrid w:val="0"/>
        <w:spacing w:line="360" w:lineRule="auto"/>
        <w:ind w:firstLine="3960" w:firstLineChars="1650"/>
        <w:rPr>
          <w:rFonts w:ascii="仿宋" w:hAnsi="仿宋" w:eastAsia="仿宋"/>
          <w:sz w:val="24"/>
        </w:rPr>
      </w:pPr>
    </w:p>
    <w:p>
      <w:pPr>
        <w:tabs>
          <w:tab w:val="center" w:pos="4396"/>
        </w:tabs>
        <w:autoSpaceDE w:val="0"/>
        <w:autoSpaceDN w:val="0"/>
        <w:adjustRightInd w:val="0"/>
        <w:snapToGrid w:val="0"/>
        <w:spacing w:line="360" w:lineRule="auto"/>
        <w:ind w:firstLine="3960" w:firstLineChars="1650"/>
        <w:rPr>
          <w:rFonts w:ascii="仿宋" w:hAnsi="仿宋" w:eastAsia="仿宋"/>
          <w:sz w:val="24"/>
        </w:rPr>
      </w:pPr>
      <w:r>
        <w:rPr>
          <w:rFonts w:hint="eastAsia" w:ascii="仿宋" w:hAnsi="仿宋" w:eastAsia="仿宋"/>
          <w:sz w:val="24"/>
        </w:rPr>
        <w:t>评价机构（盖章）：重庆瑞赢会计师事务所</w:t>
      </w:r>
    </w:p>
    <w:p>
      <w:pPr>
        <w:tabs>
          <w:tab w:val="center" w:pos="4396"/>
        </w:tabs>
        <w:autoSpaceDE w:val="0"/>
        <w:autoSpaceDN w:val="0"/>
        <w:adjustRightInd w:val="0"/>
        <w:snapToGrid w:val="0"/>
        <w:spacing w:line="360" w:lineRule="auto"/>
        <w:ind w:right="960" w:firstLine="480" w:firstLineChars="200"/>
        <w:jc w:val="right"/>
        <w:rPr>
          <w:rFonts w:ascii="仿宋" w:hAnsi="仿宋" w:eastAsia="仿宋"/>
          <w:sz w:val="24"/>
        </w:rPr>
      </w:pPr>
    </w:p>
    <w:p>
      <w:pPr>
        <w:tabs>
          <w:tab w:val="center" w:pos="4396"/>
        </w:tabs>
        <w:autoSpaceDE w:val="0"/>
        <w:autoSpaceDN w:val="0"/>
        <w:adjustRightInd w:val="0"/>
        <w:snapToGrid w:val="0"/>
        <w:spacing w:line="360" w:lineRule="auto"/>
        <w:ind w:right="1680" w:firstLine="480" w:firstLineChars="200"/>
        <w:jc w:val="right"/>
        <w:rPr>
          <w:rFonts w:ascii="仿宋" w:hAnsi="仿宋" w:eastAsia="仿宋"/>
          <w:b/>
        </w:rPr>
      </w:pPr>
      <w:r>
        <w:rPr>
          <w:rFonts w:hint="eastAsia" w:ascii="仿宋" w:hAnsi="仿宋" w:eastAsia="仿宋"/>
          <w:sz w:val="24"/>
        </w:rPr>
        <w:t>2020年</w:t>
      </w:r>
      <w:r>
        <w:rPr>
          <w:rFonts w:ascii="仿宋" w:hAnsi="仿宋" w:eastAsia="仿宋"/>
          <w:sz w:val="24"/>
        </w:rPr>
        <w:t>7</w:t>
      </w:r>
      <w:r>
        <w:rPr>
          <w:rFonts w:hint="eastAsia" w:ascii="仿宋" w:hAnsi="仿宋" w:eastAsia="仿宋"/>
          <w:sz w:val="24"/>
        </w:rPr>
        <w:t>月</w:t>
      </w:r>
    </w:p>
    <w:sectPr>
      <w:footerReference r:id="rId6" w:type="first"/>
      <w:headerReference r:id="rId3" w:type="default"/>
      <w:footerReference r:id="rId4" w:type="default"/>
      <w:footerReference r:id="rId5" w:type="even"/>
      <w:pgSz w:w="11906" w:h="16838"/>
      <w:pgMar w:top="1440" w:right="1797" w:bottom="1440" w:left="179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7018" w:h="745" w:hRule="exact" w:wrap="around" w:vAnchor="text" w:hAnchor="page" w:x="3479" w:y="113"/>
      <w:ind w:right="360" w:firstLine="630" w:firstLineChars="300"/>
      <w:rPr>
        <w:rStyle w:val="14"/>
        <w:rFonts w:ascii="仿宋" w:hAnsi="仿宋" w:eastAsia="仿宋"/>
        <w:sz w:val="21"/>
        <w:szCs w:val="21"/>
      </w:rPr>
    </w:pPr>
    <w:r>
      <w:rPr>
        <w:rFonts w:hint="eastAsia" w:ascii="仿宋" w:hAnsi="仿宋" w:eastAsia="仿宋"/>
        <w:sz w:val="21"/>
        <w:szCs w:val="21"/>
      </w:rPr>
      <w:t xml:space="preserve">电话：8850 3896       传真: 8850 3897     </w:t>
    </w:r>
    <w:r>
      <w:rPr>
        <w:rStyle w:val="14"/>
        <w:rFonts w:hint="eastAsia" w:ascii="仿宋" w:hAnsi="仿宋" w:eastAsia="仿宋"/>
        <w:kern w:val="0"/>
        <w:sz w:val="21"/>
        <w:szCs w:val="21"/>
      </w:rPr>
      <w:t xml:space="preserve">第 </w:t>
    </w:r>
    <w:r>
      <w:rPr>
        <w:rStyle w:val="14"/>
        <w:rFonts w:ascii="仿宋" w:hAnsi="仿宋" w:eastAsia="仿宋"/>
        <w:kern w:val="0"/>
        <w:sz w:val="21"/>
        <w:szCs w:val="21"/>
      </w:rPr>
      <w:fldChar w:fldCharType="begin"/>
    </w:r>
    <w:r>
      <w:rPr>
        <w:rStyle w:val="14"/>
        <w:rFonts w:ascii="仿宋" w:hAnsi="仿宋" w:eastAsia="仿宋"/>
        <w:kern w:val="0"/>
        <w:sz w:val="21"/>
        <w:szCs w:val="21"/>
      </w:rPr>
      <w:instrText xml:space="preserve"> PAGE </w:instrText>
    </w:r>
    <w:r>
      <w:rPr>
        <w:rStyle w:val="14"/>
        <w:rFonts w:ascii="仿宋" w:hAnsi="仿宋" w:eastAsia="仿宋"/>
        <w:kern w:val="0"/>
        <w:sz w:val="21"/>
        <w:szCs w:val="21"/>
      </w:rPr>
      <w:fldChar w:fldCharType="separate"/>
    </w:r>
    <w:r>
      <w:rPr>
        <w:rStyle w:val="14"/>
        <w:rFonts w:ascii="仿宋" w:hAnsi="仿宋" w:eastAsia="仿宋"/>
        <w:kern w:val="0"/>
        <w:sz w:val="21"/>
        <w:szCs w:val="21"/>
      </w:rPr>
      <w:t>4</w:t>
    </w:r>
    <w:r>
      <w:rPr>
        <w:rStyle w:val="14"/>
        <w:rFonts w:ascii="仿宋" w:hAnsi="仿宋" w:eastAsia="仿宋"/>
        <w:kern w:val="0"/>
        <w:sz w:val="21"/>
        <w:szCs w:val="21"/>
      </w:rPr>
      <w:fldChar w:fldCharType="end"/>
    </w:r>
    <w:r>
      <w:rPr>
        <w:rStyle w:val="14"/>
        <w:rFonts w:hint="eastAsia" w:ascii="仿宋" w:hAnsi="仿宋" w:eastAsia="仿宋"/>
        <w:kern w:val="0"/>
        <w:sz w:val="21"/>
        <w:szCs w:val="21"/>
      </w:rPr>
      <w:t xml:space="preserve"> 页 共 </w:t>
    </w:r>
    <w:r>
      <w:rPr>
        <w:rStyle w:val="14"/>
        <w:rFonts w:ascii="仿宋" w:hAnsi="仿宋" w:eastAsia="仿宋"/>
        <w:kern w:val="0"/>
        <w:sz w:val="21"/>
        <w:szCs w:val="21"/>
      </w:rPr>
      <w:fldChar w:fldCharType="begin"/>
    </w:r>
    <w:r>
      <w:rPr>
        <w:rStyle w:val="14"/>
        <w:rFonts w:ascii="仿宋" w:hAnsi="仿宋" w:eastAsia="仿宋"/>
        <w:kern w:val="0"/>
        <w:sz w:val="21"/>
        <w:szCs w:val="21"/>
      </w:rPr>
      <w:instrText xml:space="preserve"> NUMPAGES </w:instrText>
    </w:r>
    <w:r>
      <w:rPr>
        <w:rStyle w:val="14"/>
        <w:rFonts w:ascii="仿宋" w:hAnsi="仿宋" w:eastAsia="仿宋"/>
        <w:kern w:val="0"/>
        <w:sz w:val="21"/>
        <w:szCs w:val="21"/>
      </w:rPr>
      <w:fldChar w:fldCharType="separate"/>
    </w:r>
    <w:r>
      <w:rPr>
        <w:rStyle w:val="14"/>
        <w:rFonts w:ascii="仿宋" w:hAnsi="仿宋" w:eastAsia="仿宋"/>
        <w:kern w:val="0"/>
        <w:sz w:val="21"/>
        <w:szCs w:val="21"/>
      </w:rPr>
      <w:t>16</w:t>
    </w:r>
    <w:r>
      <w:rPr>
        <w:rStyle w:val="14"/>
        <w:rFonts w:ascii="仿宋" w:hAnsi="仿宋" w:eastAsia="仿宋"/>
        <w:kern w:val="0"/>
        <w:sz w:val="21"/>
        <w:szCs w:val="21"/>
      </w:rPr>
      <w:fldChar w:fldCharType="end"/>
    </w:r>
    <w:r>
      <w:rPr>
        <w:rStyle w:val="14"/>
        <w:rFonts w:hint="eastAsia" w:ascii="仿宋" w:hAnsi="仿宋" w:eastAsia="仿宋"/>
        <w:kern w:val="0"/>
        <w:sz w:val="21"/>
        <w:szCs w:val="21"/>
      </w:rPr>
      <w:t xml:space="preserve"> 页</w:t>
    </w:r>
  </w:p>
  <w:p>
    <w:pPr>
      <w:pStyle w:val="8"/>
      <w:pBdr>
        <w:top w:val="single" w:color="auto" w:sz="4" w:space="6"/>
      </w:pBdr>
    </w:pPr>
    <w:r>
      <w:drawing>
        <wp:inline distT="0" distB="0" distL="0" distR="0">
          <wp:extent cx="695325" cy="228600"/>
          <wp:effectExtent l="0" t="0" r="0" b="0"/>
          <wp:docPr id="2" name="图片 2" descr="源0000000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源0000000件.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95680" cy="228717"/>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6841" w:h="745" w:hRule="exact" w:wrap="around" w:vAnchor="text" w:hAnchor="page" w:x="3316" w:y="127"/>
      <w:ind w:right="360" w:firstLine="630" w:firstLineChars="300"/>
      <w:rPr>
        <w:rStyle w:val="14"/>
        <w:rFonts w:ascii="仿宋" w:hAnsi="仿宋" w:eastAsia="仿宋"/>
        <w:sz w:val="21"/>
        <w:szCs w:val="21"/>
      </w:rPr>
    </w:pPr>
    <w:r>
      <w:rPr>
        <w:rFonts w:hint="eastAsia" w:ascii="仿宋" w:hAnsi="仿宋" w:eastAsia="仿宋"/>
        <w:sz w:val="21"/>
        <w:szCs w:val="21"/>
      </w:rPr>
      <w:t>电话：8850</w:t>
    </w:r>
    <w:r>
      <w:rPr>
        <w:rFonts w:ascii="仿宋" w:hAnsi="仿宋" w:eastAsia="仿宋"/>
        <w:sz w:val="21"/>
        <w:szCs w:val="21"/>
      </w:rPr>
      <w:t xml:space="preserve"> </w:t>
    </w:r>
    <w:r>
      <w:rPr>
        <w:rFonts w:hint="eastAsia" w:ascii="仿宋" w:hAnsi="仿宋" w:eastAsia="仿宋"/>
        <w:sz w:val="21"/>
        <w:szCs w:val="21"/>
      </w:rPr>
      <w:t>3896      传真: 8850</w:t>
    </w:r>
    <w:r>
      <w:rPr>
        <w:rFonts w:ascii="仿宋" w:hAnsi="仿宋" w:eastAsia="仿宋"/>
        <w:sz w:val="21"/>
        <w:szCs w:val="21"/>
      </w:rPr>
      <w:t xml:space="preserve"> </w:t>
    </w:r>
    <w:r>
      <w:rPr>
        <w:rFonts w:hint="eastAsia" w:ascii="仿宋" w:hAnsi="仿宋" w:eastAsia="仿宋"/>
        <w:sz w:val="21"/>
        <w:szCs w:val="21"/>
      </w:rPr>
      <w:t xml:space="preserve">3897     </w:t>
    </w:r>
    <w:r>
      <w:rPr>
        <w:rStyle w:val="14"/>
        <w:rFonts w:hint="eastAsia" w:ascii="仿宋" w:hAnsi="仿宋" w:eastAsia="仿宋"/>
        <w:kern w:val="0"/>
        <w:sz w:val="21"/>
        <w:szCs w:val="21"/>
      </w:rPr>
      <w:t xml:space="preserve">第 </w:t>
    </w:r>
    <w:r>
      <w:rPr>
        <w:rStyle w:val="14"/>
        <w:rFonts w:ascii="仿宋" w:hAnsi="仿宋" w:eastAsia="仿宋"/>
        <w:kern w:val="0"/>
        <w:sz w:val="21"/>
        <w:szCs w:val="21"/>
      </w:rPr>
      <w:fldChar w:fldCharType="begin"/>
    </w:r>
    <w:r>
      <w:rPr>
        <w:rStyle w:val="14"/>
        <w:rFonts w:ascii="仿宋" w:hAnsi="仿宋" w:eastAsia="仿宋"/>
        <w:kern w:val="0"/>
        <w:sz w:val="21"/>
        <w:szCs w:val="21"/>
      </w:rPr>
      <w:instrText xml:space="preserve"> PAGE </w:instrText>
    </w:r>
    <w:r>
      <w:rPr>
        <w:rStyle w:val="14"/>
        <w:rFonts w:ascii="仿宋" w:hAnsi="仿宋" w:eastAsia="仿宋"/>
        <w:kern w:val="0"/>
        <w:sz w:val="21"/>
        <w:szCs w:val="21"/>
      </w:rPr>
      <w:fldChar w:fldCharType="separate"/>
    </w:r>
    <w:r>
      <w:rPr>
        <w:rStyle w:val="14"/>
        <w:rFonts w:ascii="仿宋" w:hAnsi="仿宋" w:eastAsia="仿宋"/>
        <w:kern w:val="0"/>
        <w:sz w:val="21"/>
        <w:szCs w:val="21"/>
      </w:rPr>
      <w:t>1</w:t>
    </w:r>
    <w:r>
      <w:rPr>
        <w:rStyle w:val="14"/>
        <w:rFonts w:ascii="仿宋" w:hAnsi="仿宋" w:eastAsia="仿宋"/>
        <w:kern w:val="0"/>
        <w:sz w:val="21"/>
        <w:szCs w:val="21"/>
      </w:rPr>
      <w:fldChar w:fldCharType="end"/>
    </w:r>
    <w:r>
      <w:rPr>
        <w:rStyle w:val="14"/>
        <w:rFonts w:hint="eastAsia" w:ascii="仿宋" w:hAnsi="仿宋" w:eastAsia="仿宋"/>
        <w:kern w:val="0"/>
        <w:sz w:val="21"/>
        <w:szCs w:val="21"/>
      </w:rPr>
      <w:t xml:space="preserve"> 页 共 </w:t>
    </w:r>
    <w:r>
      <w:rPr>
        <w:rStyle w:val="14"/>
        <w:rFonts w:ascii="仿宋" w:hAnsi="仿宋" w:eastAsia="仿宋"/>
        <w:kern w:val="0"/>
        <w:sz w:val="21"/>
        <w:szCs w:val="21"/>
      </w:rPr>
      <w:fldChar w:fldCharType="begin"/>
    </w:r>
    <w:r>
      <w:rPr>
        <w:rStyle w:val="14"/>
        <w:rFonts w:ascii="仿宋" w:hAnsi="仿宋" w:eastAsia="仿宋"/>
        <w:kern w:val="0"/>
        <w:sz w:val="21"/>
        <w:szCs w:val="21"/>
      </w:rPr>
      <w:instrText xml:space="preserve"> NUMPAGES </w:instrText>
    </w:r>
    <w:r>
      <w:rPr>
        <w:rStyle w:val="14"/>
        <w:rFonts w:ascii="仿宋" w:hAnsi="仿宋" w:eastAsia="仿宋"/>
        <w:kern w:val="0"/>
        <w:sz w:val="21"/>
        <w:szCs w:val="21"/>
      </w:rPr>
      <w:fldChar w:fldCharType="separate"/>
    </w:r>
    <w:r>
      <w:rPr>
        <w:rStyle w:val="14"/>
        <w:rFonts w:ascii="仿宋" w:hAnsi="仿宋" w:eastAsia="仿宋"/>
        <w:kern w:val="0"/>
        <w:sz w:val="21"/>
        <w:szCs w:val="21"/>
      </w:rPr>
      <w:t>16</w:t>
    </w:r>
    <w:r>
      <w:rPr>
        <w:rStyle w:val="14"/>
        <w:rFonts w:ascii="仿宋" w:hAnsi="仿宋" w:eastAsia="仿宋"/>
        <w:kern w:val="0"/>
        <w:sz w:val="21"/>
        <w:szCs w:val="21"/>
      </w:rPr>
      <w:fldChar w:fldCharType="end"/>
    </w:r>
    <w:r>
      <w:rPr>
        <w:rStyle w:val="14"/>
        <w:rFonts w:hint="eastAsia" w:ascii="仿宋" w:hAnsi="仿宋" w:eastAsia="仿宋"/>
        <w:kern w:val="0"/>
        <w:sz w:val="21"/>
        <w:szCs w:val="21"/>
      </w:rPr>
      <w:t xml:space="preserve"> 页</w:t>
    </w:r>
  </w:p>
  <w:p>
    <w:pPr>
      <w:pStyle w:val="8"/>
      <w:framePr w:w="6841" w:h="745" w:hRule="exact" w:wrap="around" w:vAnchor="text" w:hAnchor="page" w:x="3316" w:y="127"/>
      <w:ind w:right="360"/>
      <w:rPr>
        <w:rStyle w:val="14"/>
        <w:rFonts w:ascii="仿宋" w:hAnsi="仿宋" w:eastAsia="仿宋"/>
        <w:sz w:val="21"/>
        <w:szCs w:val="21"/>
      </w:rPr>
    </w:pPr>
  </w:p>
  <w:p>
    <w:pPr>
      <w:pStyle w:val="8"/>
      <w:pBdr>
        <w:top w:val="single" w:color="auto" w:sz="4" w:space="1"/>
      </w:pBdr>
    </w:pPr>
    <w:r>
      <w:drawing>
        <wp:inline distT="0" distB="0" distL="0" distR="0">
          <wp:extent cx="695325" cy="228600"/>
          <wp:effectExtent l="0" t="0" r="0" b="0"/>
          <wp:docPr id="1" name="图片 1" descr="源0000000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源0000000件.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95680" cy="228717"/>
                  </a:xfrm>
                  <a:prstGeom prst="rect">
                    <a:avLst/>
                  </a:prstGeom>
                  <a:noFill/>
                  <a:ln>
                    <a:noFill/>
                  </a:ln>
                </pic:spPr>
              </pic:pic>
            </a:graphicData>
          </a:graphic>
        </wp:inline>
      </w:drawing>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ascii="仿宋" w:hAnsi="仿宋" w:eastAsia="仿宋"/>
        <w:sz w:val="21"/>
        <w:szCs w:val="21"/>
      </w:rPr>
    </w:pPr>
    <w:r>
      <w:rPr>
        <w:rFonts w:ascii="仿宋" w:hAnsi="仿宋" w:eastAsia="仿宋"/>
        <w:sz w:val="21"/>
        <w:szCs w:val="21"/>
      </w:rPr>
      <w:t>2019</w:t>
    </w:r>
    <w:r>
      <w:rPr>
        <w:rFonts w:hint="eastAsia" w:ascii="仿宋" w:hAnsi="仿宋" w:eastAsia="仿宋"/>
        <w:sz w:val="21"/>
        <w:szCs w:val="21"/>
      </w:rPr>
      <w:t>年巴南区旅游发展专项资金绩效评价报告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1264"/>
    <w:rsid w:val="000001C4"/>
    <w:rsid w:val="00000268"/>
    <w:rsid w:val="000003EA"/>
    <w:rsid w:val="0000099A"/>
    <w:rsid w:val="00001249"/>
    <w:rsid w:val="00001811"/>
    <w:rsid w:val="0000206D"/>
    <w:rsid w:val="000038C3"/>
    <w:rsid w:val="000038CA"/>
    <w:rsid w:val="00003AD9"/>
    <w:rsid w:val="00003D41"/>
    <w:rsid w:val="0000489E"/>
    <w:rsid w:val="000051C8"/>
    <w:rsid w:val="000060C6"/>
    <w:rsid w:val="00006687"/>
    <w:rsid w:val="0000768D"/>
    <w:rsid w:val="0001142D"/>
    <w:rsid w:val="000124BB"/>
    <w:rsid w:val="000128DF"/>
    <w:rsid w:val="00012979"/>
    <w:rsid w:val="00012DA0"/>
    <w:rsid w:val="00014469"/>
    <w:rsid w:val="000160D3"/>
    <w:rsid w:val="0001783B"/>
    <w:rsid w:val="00017AC0"/>
    <w:rsid w:val="00020979"/>
    <w:rsid w:val="00020C3C"/>
    <w:rsid w:val="00021B9C"/>
    <w:rsid w:val="0002255B"/>
    <w:rsid w:val="00022780"/>
    <w:rsid w:val="00022E2D"/>
    <w:rsid w:val="00024292"/>
    <w:rsid w:val="0002528B"/>
    <w:rsid w:val="00025756"/>
    <w:rsid w:val="000264ED"/>
    <w:rsid w:val="000265FE"/>
    <w:rsid w:val="00030332"/>
    <w:rsid w:val="000303CC"/>
    <w:rsid w:val="00032047"/>
    <w:rsid w:val="0003209B"/>
    <w:rsid w:val="000322DC"/>
    <w:rsid w:val="000326EA"/>
    <w:rsid w:val="0003559B"/>
    <w:rsid w:val="00035835"/>
    <w:rsid w:val="00036799"/>
    <w:rsid w:val="000414BA"/>
    <w:rsid w:val="00041674"/>
    <w:rsid w:val="00042CAC"/>
    <w:rsid w:val="00043223"/>
    <w:rsid w:val="00044019"/>
    <w:rsid w:val="00044BC7"/>
    <w:rsid w:val="00045AE1"/>
    <w:rsid w:val="00045FBF"/>
    <w:rsid w:val="00046614"/>
    <w:rsid w:val="00046677"/>
    <w:rsid w:val="00046E7A"/>
    <w:rsid w:val="0005198C"/>
    <w:rsid w:val="00052C73"/>
    <w:rsid w:val="000530CE"/>
    <w:rsid w:val="0005347E"/>
    <w:rsid w:val="00053A8C"/>
    <w:rsid w:val="00054468"/>
    <w:rsid w:val="00054B16"/>
    <w:rsid w:val="00054F20"/>
    <w:rsid w:val="000571E8"/>
    <w:rsid w:val="000613A6"/>
    <w:rsid w:val="00061AB0"/>
    <w:rsid w:val="0006201A"/>
    <w:rsid w:val="00062517"/>
    <w:rsid w:val="00063261"/>
    <w:rsid w:val="00063BFB"/>
    <w:rsid w:val="000640AF"/>
    <w:rsid w:val="00064969"/>
    <w:rsid w:val="0006578C"/>
    <w:rsid w:val="00065FCA"/>
    <w:rsid w:val="0006691A"/>
    <w:rsid w:val="00067F3F"/>
    <w:rsid w:val="00071E69"/>
    <w:rsid w:val="00071F46"/>
    <w:rsid w:val="00072511"/>
    <w:rsid w:val="00072684"/>
    <w:rsid w:val="0007395F"/>
    <w:rsid w:val="00073F8E"/>
    <w:rsid w:val="000743B7"/>
    <w:rsid w:val="00075D2A"/>
    <w:rsid w:val="00076346"/>
    <w:rsid w:val="000776C9"/>
    <w:rsid w:val="000801F0"/>
    <w:rsid w:val="0008038E"/>
    <w:rsid w:val="00081369"/>
    <w:rsid w:val="000817C9"/>
    <w:rsid w:val="00081D6B"/>
    <w:rsid w:val="00081FC6"/>
    <w:rsid w:val="00082190"/>
    <w:rsid w:val="000822BE"/>
    <w:rsid w:val="00083E72"/>
    <w:rsid w:val="00084759"/>
    <w:rsid w:val="000847AF"/>
    <w:rsid w:val="000854DD"/>
    <w:rsid w:val="000859B4"/>
    <w:rsid w:val="00086176"/>
    <w:rsid w:val="00086291"/>
    <w:rsid w:val="000864B3"/>
    <w:rsid w:val="0008739A"/>
    <w:rsid w:val="00087530"/>
    <w:rsid w:val="000878C1"/>
    <w:rsid w:val="00090131"/>
    <w:rsid w:val="00091048"/>
    <w:rsid w:val="000910B4"/>
    <w:rsid w:val="000912D1"/>
    <w:rsid w:val="0009138C"/>
    <w:rsid w:val="00091934"/>
    <w:rsid w:val="00091C82"/>
    <w:rsid w:val="000938E2"/>
    <w:rsid w:val="000952F1"/>
    <w:rsid w:val="00095D48"/>
    <w:rsid w:val="00095E71"/>
    <w:rsid w:val="00095F76"/>
    <w:rsid w:val="00097B68"/>
    <w:rsid w:val="000A0BC1"/>
    <w:rsid w:val="000A15BB"/>
    <w:rsid w:val="000A15C1"/>
    <w:rsid w:val="000A17B6"/>
    <w:rsid w:val="000A1BED"/>
    <w:rsid w:val="000A1C82"/>
    <w:rsid w:val="000A2D0F"/>
    <w:rsid w:val="000A2ECF"/>
    <w:rsid w:val="000A3A9C"/>
    <w:rsid w:val="000A43D9"/>
    <w:rsid w:val="000A506B"/>
    <w:rsid w:val="000A5E4E"/>
    <w:rsid w:val="000A611D"/>
    <w:rsid w:val="000A6A1E"/>
    <w:rsid w:val="000B0A86"/>
    <w:rsid w:val="000B14CA"/>
    <w:rsid w:val="000B160A"/>
    <w:rsid w:val="000B311A"/>
    <w:rsid w:val="000B45C2"/>
    <w:rsid w:val="000B5D33"/>
    <w:rsid w:val="000B5E52"/>
    <w:rsid w:val="000B7529"/>
    <w:rsid w:val="000C0665"/>
    <w:rsid w:val="000C1269"/>
    <w:rsid w:val="000C178F"/>
    <w:rsid w:val="000C2E87"/>
    <w:rsid w:val="000C336C"/>
    <w:rsid w:val="000C348C"/>
    <w:rsid w:val="000C3C0E"/>
    <w:rsid w:val="000C4771"/>
    <w:rsid w:val="000C498E"/>
    <w:rsid w:val="000C4A8A"/>
    <w:rsid w:val="000C4ACB"/>
    <w:rsid w:val="000C4F02"/>
    <w:rsid w:val="000C659D"/>
    <w:rsid w:val="000C78CD"/>
    <w:rsid w:val="000D0FAB"/>
    <w:rsid w:val="000D0FE9"/>
    <w:rsid w:val="000D2177"/>
    <w:rsid w:val="000D2CC0"/>
    <w:rsid w:val="000D33AF"/>
    <w:rsid w:val="000D3F7D"/>
    <w:rsid w:val="000D67EF"/>
    <w:rsid w:val="000D6C72"/>
    <w:rsid w:val="000D6C7F"/>
    <w:rsid w:val="000D6E4F"/>
    <w:rsid w:val="000D7E0A"/>
    <w:rsid w:val="000E1884"/>
    <w:rsid w:val="000E217B"/>
    <w:rsid w:val="000E2D91"/>
    <w:rsid w:val="000E3C81"/>
    <w:rsid w:val="000E43FC"/>
    <w:rsid w:val="000E4508"/>
    <w:rsid w:val="000E46C7"/>
    <w:rsid w:val="000E567F"/>
    <w:rsid w:val="000E5B07"/>
    <w:rsid w:val="000E61A2"/>
    <w:rsid w:val="000E6A3C"/>
    <w:rsid w:val="000E6A9A"/>
    <w:rsid w:val="000E6C87"/>
    <w:rsid w:val="000E7A23"/>
    <w:rsid w:val="000E7D91"/>
    <w:rsid w:val="000F0308"/>
    <w:rsid w:val="000F051C"/>
    <w:rsid w:val="000F232B"/>
    <w:rsid w:val="000F248C"/>
    <w:rsid w:val="000F37BA"/>
    <w:rsid w:val="000F42C7"/>
    <w:rsid w:val="000F4D43"/>
    <w:rsid w:val="000F4FB6"/>
    <w:rsid w:val="000F50E0"/>
    <w:rsid w:val="000F51FB"/>
    <w:rsid w:val="000F5D10"/>
    <w:rsid w:val="000F66DC"/>
    <w:rsid w:val="000F697B"/>
    <w:rsid w:val="000F7321"/>
    <w:rsid w:val="000F7F0E"/>
    <w:rsid w:val="0010021A"/>
    <w:rsid w:val="00100D88"/>
    <w:rsid w:val="001028FE"/>
    <w:rsid w:val="00102A0A"/>
    <w:rsid w:val="00103FD7"/>
    <w:rsid w:val="0010451A"/>
    <w:rsid w:val="00104533"/>
    <w:rsid w:val="00104606"/>
    <w:rsid w:val="001064C5"/>
    <w:rsid w:val="00110541"/>
    <w:rsid w:val="001105AD"/>
    <w:rsid w:val="00110C7E"/>
    <w:rsid w:val="00111247"/>
    <w:rsid w:val="001113EE"/>
    <w:rsid w:val="00111D4F"/>
    <w:rsid w:val="00112087"/>
    <w:rsid w:val="001120B6"/>
    <w:rsid w:val="00112525"/>
    <w:rsid w:val="00112D05"/>
    <w:rsid w:val="00113015"/>
    <w:rsid w:val="0011338B"/>
    <w:rsid w:val="00113C25"/>
    <w:rsid w:val="0011515D"/>
    <w:rsid w:val="0011550C"/>
    <w:rsid w:val="00116452"/>
    <w:rsid w:val="0011712D"/>
    <w:rsid w:val="00117307"/>
    <w:rsid w:val="00117BD8"/>
    <w:rsid w:val="00117E7B"/>
    <w:rsid w:val="001201C0"/>
    <w:rsid w:val="001201DE"/>
    <w:rsid w:val="0012034A"/>
    <w:rsid w:val="00120C15"/>
    <w:rsid w:val="00122826"/>
    <w:rsid w:val="00122F75"/>
    <w:rsid w:val="00131FB2"/>
    <w:rsid w:val="00132322"/>
    <w:rsid w:val="0013341F"/>
    <w:rsid w:val="00133B62"/>
    <w:rsid w:val="00133D87"/>
    <w:rsid w:val="00134640"/>
    <w:rsid w:val="00135139"/>
    <w:rsid w:val="001354BC"/>
    <w:rsid w:val="00135F99"/>
    <w:rsid w:val="00136A58"/>
    <w:rsid w:val="00137E20"/>
    <w:rsid w:val="0014060D"/>
    <w:rsid w:val="00141184"/>
    <w:rsid w:val="00141349"/>
    <w:rsid w:val="0014161C"/>
    <w:rsid w:val="00141719"/>
    <w:rsid w:val="00141F5F"/>
    <w:rsid w:val="001424B3"/>
    <w:rsid w:val="001430F4"/>
    <w:rsid w:val="00143990"/>
    <w:rsid w:val="00145716"/>
    <w:rsid w:val="001464FD"/>
    <w:rsid w:val="00146985"/>
    <w:rsid w:val="00146D4D"/>
    <w:rsid w:val="00146E0F"/>
    <w:rsid w:val="001470BB"/>
    <w:rsid w:val="00147624"/>
    <w:rsid w:val="0014797A"/>
    <w:rsid w:val="00147A02"/>
    <w:rsid w:val="00151444"/>
    <w:rsid w:val="001515C5"/>
    <w:rsid w:val="001523FB"/>
    <w:rsid w:val="00153E11"/>
    <w:rsid w:val="0015424E"/>
    <w:rsid w:val="0015526C"/>
    <w:rsid w:val="00155C36"/>
    <w:rsid w:val="00157319"/>
    <w:rsid w:val="00157E75"/>
    <w:rsid w:val="001609B7"/>
    <w:rsid w:val="00161779"/>
    <w:rsid w:val="00161FD3"/>
    <w:rsid w:val="001624E0"/>
    <w:rsid w:val="001626A8"/>
    <w:rsid w:val="00163D40"/>
    <w:rsid w:val="00164756"/>
    <w:rsid w:val="001658AC"/>
    <w:rsid w:val="00166721"/>
    <w:rsid w:val="0016712C"/>
    <w:rsid w:val="001674B3"/>
    <w:rsid w:val="00167C03"/>
    <w:rsid w:val="00170561"/>
    <w:rsid w:val="00170E2C"/>
    <w:rsid w:val="001710FC"/>
    <w:rsid w:val="00172959"/>
    <w:rsid w:val="001729FD"/>
    <w:rsid w:val="00172B77"/>
    <w:rsid w:val="00173B15"/>
    <w:rsid w:val="00173E64"/>
    <w:rsid w:val="00173EA7"/>
    <w:rsid w:val="00174030"/>
    <w:rsid w:val="0017481C"/>
    <w:rsid w:val="001748DC"/>
    <w:rsid w:val="001754E9"/>
    <w:rsid w:val="00175C05"/>
    <w:rsid w:val="00176568"/>
    <w:rsid w:val="00176C9B"/>
    <w:rsid w:val="00176D68"/>
    <w:rsid w:val="00176EB9"/>
    <w:rsid w:val="00177E39"/>
    <w:rsid w:val="00180315"/>
    <w:rsid w:val="0018124B"/>
    <w:rsid w:val="001828DE"/>
    <w:rsid w:val="001833C1"/>
    <w:rsid w:val="00186C91"/>
    <w:rsid w:val="00187337"/>
    <w:rsid w:val="00187E31"/>
    <w:rsid w:val="00190E1D"/>
    <w:rsid w:val="00191380"/>
    <w:rsid w:val="00192518"/>
    <w:rsid w:val="001932F6"/>
    <w:rsid w:val="001934CE"/>
    <w:rsid w:val="001935E6"/>
    <w:rsid w:val="00194252"/>
    <w:rsid w:val="0019430A"/>
    <w:rsid w:val="0019518E"/>
    <w:rsid w:val="00196581"/>
    <w:rsid w:val="00197B98"/>
    <w:rsid w:val="00197C06"/>
    <w:rsid w:val="00197C34"/>
    <w:rsid w:val="00197C8A"/>
    <w:rsid w:val="001A010A"/>
    <w:rsid w:val="001A23B7"/>
    <w:rsid w:val="001A3311"/>
    <w:rsid w:val="001A3A9E"/>
    <w:rsid w:val="001A3CD7"/>
    <w:rsid w:val="001A4080"/>
    <w:rsid w:val="001A4094"/>
    <w:rsid w:val="001A4D89"/>
    <w:rsid w:val="001A52E5"/>
    <w:rsid w:val="001A5622"/>
    <w:rsid w:val="001A62F6"/>
    <w:rsid w:val="001A73B9"/>
    <w:rsid w:val="001A794C"/>
    <w:rsid w:val="001B049A"/>
    <w:rsid w:val="001B04CF"/>
    <w:rsid w:val="001B04DB"/>
    <w:rsid w:val="001B04E6"/>
    <w:rsid w:val="001B05D1"/>
    <w:rsid w:val="001B0A46"/>
    <w:rsid w:val="001B228C"/>
    <w:rsid w:val="001B4412"/>
    <w:rsid w:val="001B516D"/>
    <w:rsid w:val="001B6033"/>
    <w:rsid w:val="001B6084"/>
    <w:rsid w:val="001B65B7"/>
    <w:rsid w:val="001C00B9"/>
    <w:rsid w:val="001C0A69"/>
    <w:rsid w:val="001C1A49"/>
    <w:rsid w:val="001C1CB4"/>
    <w:rsid w:val="001C3193"/>
    <w:rsid w:val="001C31D4"/>
    <w:rsid w:val="001C3BE2"/>
    <w:rsid w:val="001C425A"/>
    <w:rsid w:val="001C4765"/>
    <w:rsid w:val="001C4FB3"/>
    <w:rsid w:val="001C5C1B"/>
    <w:rsid w:val="001C5F37"/>
    <w:rsid w:val="001C6A4A"/>
    <w:rsid w:val="001D0C97"/>
    <w:rsid w:val="001D11DC"/>
    <w:rsid w:val="001D13B9"/>
    <w:rsid w:val="001D285E"/>
    <w:rsid w:val="001D31D8"/>
    <w:rsid w:val="001D3BD8"/>
    <w:rsid w:val="001D3FBF"/>
    <w:rsid w:val="001D432E"/>
    <w:rsid w:val="001D43F1"/>
    <w:rsid w:val="001D4F92"/>
    <w:rsid w:val="001D5145"/>
    <w:rsid w:val="001D535C"/>
    <w:rsid w:val="001D5C6A"/>
    <w:rsid w:val="001D628C"/>
    <w:rsid w:val="001D65DC"/>
    <w:rsid w:val="001D65DE"/>
    <w:rsid w:val="001D6689"/>
    <w:rsid w:val="001D6FEE"/>
    <w:rsid w:val="001E0471"/>
    <w:rsid w:val="001E1040"/>
    <w:rsid w:val="001E13AC"/>
    <w:rsid w:val="001E1836"/>
    <w:rsid w:val="001E2617"/>
    <w:rsid w:val="001E2702"/>
    <w:rsid w:val="001E37A4"/>
    <w:rsid w:val="001E3E3E"/>
    <w:rsid w:val="001E5273"/>
    <w:rsid w:val="001E592E"/>
    <w:rsid w:val="001E5D37"/>
    <w:rsid w:val="001E6469"/>
    <w:rsid w:val="001E65F4"/>
    <w:rsid w:val="001E695E"/>
    <w:rsid w:val="001E7078"/>
    <w:rsid w:val="001E7152"/>
    <w:rsid w:val="001E7643"/>
    <w:rsid w:val="001E7933"/>
    <w:rsid w:val="001E7D63"/>
    <w:rsid w:val="001F02FD"/>
    <w:rsid w:val="001F0722"/>
    <w:rsid w:val="001F0A7A"/>
    <w:rsid w:val="001F3330"/>
    <w:rsid w:val="001F34B3"/>
    <w:rsid w:val="001F35E2"/>
    <w:rsid w:val="001F4030"/>
    <w:rsid w:val="001F4E5A"/>
    <w:rsid w:val="001F5402"/>
    <w:rsid w:val="001F71F5"/>
    <w:rsid w:val="001F7583"/>
    <w:rsid w:val="001F75E5"/>
    <w:rsid w:val="001F7D17"/>
    <w:rsid w:val="002004E3"/>
    <w:rsid w:val="00201323"/>
    <w:rsid w:val="002017E5"/>
    <w:rsid w:val="00201D69"/>
    <w:rsid w:val="002022C0"/>
    <w:rsid w:val="00202C7B"/>
    <w:rsid w:val="00203C17"/>
    <w:rsid w:val="00203D8A"/>
    <w:rsid w:val="00204180"/>
    <w:rsid w:val="002048DD"/>
    <w:rsid w:val="00204A06"/>
    <w:rsid w:val="00205237"/>
    <w:rsid w:val="00207A3C"/>
    <w:rsid w:val="0021035A"/>
    <w:rsid w:val="002106B1"/>
    <w:rsid w:val="0021131D"/>
    <w:rsid w:val="00211ACB"/>
    <w:rsid w:val="00211B4F"/>
    <w:rsid w:val="0021257B"/>
    <w:rsid w:val="0021306B"/>
    <w:rsid w:val="00213567"/>
    <w:rsid w:val="00215451"/>
    <w:rsid w:val="0021576F"/>
    <w:rsid w:val="002166CB"/>
    <w:rsid w:val="00217B31"/>
    <w:rsid w:val="00217FD7"/>
    <w:rsid w:val="002205A2"/>
    <w:rsid w:val="0022225E"/>
    <w:rsid w:val="00222308"/>
    <w:rsid w:val="002228B8"/>
    <w:rsid w:val="00222939"/>
    <w:rsid w:val="00223641"/>
    <w:rsid w:val="00224177"/>
    <w:rsid w:val="002241DE"/>
    <w:rsid w:val="00225C2F"/>
    <w:rsid w:val="00225E64"/>
    <w:rsid w:val="00227644"/>
    <w:rsid w:val="002278FB"/>
    <w:rsid w:val="00230260"/>
    <w:rsid w:val="00230B4C"/>
    <w:rsid w:val="00230B6A"/>
    <w:rsid w:val="0023147F"/>
    <w:rsid w:val="00231732"/>
    <w:rsid w:val="00231AD1"/>
    <w:rsid w:val="002325F4"/>
    <w:rsid w:val="00232CAB"/>
    <w:rsid w:val="002347A2"/>
    <w:rsid w:val="00235667"/>
    <w:rsid w:val="002365D6"/>
    <w:rsid w:val="002376E9"/>
    <w:rsid w:val="00237DEF"/>
    <w:rsid w:val="00242ADD"/>
    <w:rsid w:val="00242F35"/>
    <w:rsid w:val="00242FA7"/>
    <w:rsid w:val="00243706"/>
    <w:rsid w:val="00243729"/>
    <w:rsid w:val="00243971"/>
    <w:rsid w:val="0024398A"/>
    <w:rsid w:val="002452E3"/>
    <w:rsid w:val="0024544C"/>
    <w:rsid w:val="002463FB"/>
    <w:rsid w:val="00251630"/>
    <w:rsid w:val="00251AAF"/>
    <w:rsid w:val="00252F27"/>
    <w:rsid w:val="0025553C"/>
    <w:rsid w:val="00255C5F"/>
    <w:rsid w:val="00256814"/>
    <w:rsid w:val="00257017"/>
    <w:rsid w:val="002607F4"/>
    <w:rsid w:val="00261038"/>
    <w:rsid w:val="0026110A"/>
    <w:rsid w:val="00261CBF"/>
    <w:rsid w:val="00262271"/>
    <w:rsid w:val="002627D4"/>
    <w:rsid w:val="00262D8A"/>
    <w:rsid w:val="00263030"/>
    <w:rsid w:val="002635A1"/>
    <w:rsid w:val="002637FB"/>
    <w:rsid w:val="002647D7"/>
    <w:rsid w:val="00265050"/>
    <w:rsid w:val="002651D2"/>
    <w:rsid w:val="002652FB"/>
    <w:rsid w:val="0026551A"/>
    <w:rsid w:val="00265577"/>
    <w:rsid w:val="002661B8"/>
    <w:rsid w:val="002663EA"/>
    <w:rsid w:val="002663FC"/>
    <w:rsid w:val="00266E37"/>
    <w:rsid w:val="002673E3"/>
    <w:rsid w:val="00267D50"/>
    <w:rsid w:val="00270319"/>
    <w:rsid w:val="0027055F"/>
    <w:rsid w:val="00270F4B"/>
    <w:rsid w:val="00271675"/>
    <w:rsid w:val="00275203"/>
    <w:rsid w:val="0027524C"/>
    <w:rsid w:val="00275324"/>
    <w:rsid w:val="002755B9"/>
    <w:rsid w:val="00275790"/>
    <w:rsid w:val="0027598A"/>
    <w:rsid w:val="002775D3"/>
    <w:rsid w:val="00280D68"/>
    <w:rsid w:val="00280E94"/>
    <w:rsid w:val="0028100D"/>
    <w:rsid w:val="00281760"/>
    <w:rsid w:val="002828EF"/>
    <w:rsid w:val="00282BE3"/>
    <w:rsid w:val="00283B85"/>
    <w:rsid w:val="00284D82"/>
    <w:rsid w:val="00285977"/>
    <w:rsid w:val="00286D43"/>
    <w:rsid w:val="00287880"/>
    <w:rsid w:val="00287AEE"/>
    <w:rsid w:val="00287BB3"/>
    <w:rsid w:val="00287DAD"/>
    <w:rsid w:val="002905FE"/>
    <w:rsid w:val="00290A43"/>
    <w:rsid w:val="0029143E"/>
    <w:rsid w:val="002914F8"/>
    <w:rsid w:val="002929FF"/>
    <w:rsid w:val="00293A9E"/>
    <w:rsid w:val="002949F2"/>
    <w:rsid w:val="00294A04"/>
    <w:rsid w:val="002958A6"/>
    <w:rsid w:val="0029652A"/>
    <w:rsid w:val="002965C0"/>
    <w:rsid w:val="00297157"/>
    <w:rsid w:val="002A0036"/>
    <w:rsid w:val="002A017E"/>
    <w:rsid w:val="002A0B29"/>
    <w:rsid w:val="002A11AB"/>
    <w:rsid w:val="002A12D7"/>
    <w:rsid w:val="002A1865"/>
    <w:rsid w:val="002A452F"/>
    <w:rsid w:val="002A5252"/>
    <w:rsid w:val="002A5EFB"/>
    <w:rsid w:val="002A65B7"/>
    <w:rsid w:val="002B22C5"/>
    <w:rsid w:val="002B2477"/>
    <w:rsid w:val="002B3526"/>
    <w:rsid w:val="002B3B43"/>
    <w:rsid w:val="002B4E07"/>
    <w:rsid w:val="002B5B25"/>
    <w:rsid w:val="002B5C9F"/>
    <w:rsid w:val="002B6746"/>
    <w:rsid w:val="002B7F4F"/>
    <w:rsid w:val="002C03D3"/>
    <w:rsid w:val="002C172C"/>
    <w:rsid w:val="002C1BC7"/>
    <w:rsid w:val="002C20C3"/>
    <w:rsid w:val="002C247B"/>
    <w:rsid w:val="002C28FF"/>
    <w:rsid w:val="002C318A"/>
    <w:rsid w:val="002C320A"/>
    <w:rsid w:val="002C357E"/>
    <w:rsid w:val="002C3BCB"/>
    <w:rsid w:val="002C49C4"/>
    <w:rsid w:val="002C5010"/>
    <w:rsid w:val="002C50B0"/>
    <w:rsid w:val="002C53D7"/>
    <w:rsid w:val="002C55D0"/>
    <w:rsid w:val="002C5B8B"/>
    <w:rsid w:val="002C714A"/>
    <w:rsid w:val="002D08FB"/>
    <w:rsid w:val="002D12B8"/>
    <w:rsid w:val="002D158A"/>
    <w:rsid w:val="002D2849"/>
    <w:rsid w:val="002D3739"/>
    <w:rsid w:val="002D38D5"/>
    <w:rsid w:val="002D4BA4"/>
    <w:rsid w:val="002D5727"/>
    <w:rsid w:val="002D59B3"/>
    <w:rsid w:val="002D699D"/>
    <w:rsid w:val="002D6A67"/>
    <w:rsid w:val="002D714D"/>
    <w:rsid w:val="002D78AA"/>
    <w:rsid w:val="002D7BB8"/>
    <w:rsid w:val="002E0380"/>
    <w:rsid w:val="002E173A"/>
    <w:rsid w:val="002E2688"/>
    <w:rsid w:val="002E2B3E"/>
    <w:rsid w:val="002E2F6E"/>
    <w:rsid w:val="002E3A48"/>
    <w:rsid w:val="002E7031"/>
    <w:rsid w:val="002E7680"/>
    <w:rsid w:val="002F07BF"/>
    <w:rsid w:val="002F0CD5"/>
    <w:rsid w:val="002F17BD"/>
    <w:rsid w:val="002F19C4"/>
    <w:rsid w:val="002F27F4"/>
    <w:rsid w:val="002F28AF"/>
    <w:rsid w:val="002F3529"/>
    <w:rsid w:val="002F3C19"/>
    <w:rsid w:val="002F3CA2"/>
    <w:rsid w:val="002F4164"/>
    <w:rsid w:val="002F4D29"/>
    <w:rsid w:val="002F5673"/>
    <w:rsid w:val="002F571B"/>
    <w:rsid w:val="002F5BC7"/>
    <w:rsid w:val="002F64C0"/>
    <w:rsid w:val="002F6E7A"/>
    <w:rsid w:val="002F6E89"/>
    <w:rsid w:val="002F6F0A"/>
    <w:rsid w:val="002F7386"/>
    <w:rsid w:val="002F7E68"/>
    <w:rsid w:val="003018B8"/>
    <w:rsid w:val="003023BF"/>
    <w:rsid w:val="00302EBC"/>
    <w:rsid w:val="0030339A"/>
    <w:rsid w:val="003043EF"/>
    <w:rsid w:val="00304E6B"/>
    <w:rsid w:val="00305097"/>
    <w:rsid w:val="0030516D"/>
    <w:rsid w:val="00306E51"/>
    <w:rsid w:val="00307951"/>
    <w:rsid w:val="00307F9D"/>
    <w:rsid w:val="0031050B"/>
    <w:rsid w:val="00310BBC"/>
    <w:rsid w:val="00311099"/>
    <w:rsid w:val="00311327"/>
    <w:rsid w:val="0031263A"/>
    <w:rsid w:val="00313404"/>
    <w:rsid w:val="00313BFA"/>
    <w:rsid w:val="00315D00"/>
    <w:rsid w:val="0031630E"/>
    <w:rsid w:val="003169EF"/>
    <w:rsid w:val="00317EE0"/>
    <w:rsid w:val="0032054A"/>
    <w:rsid w:val="00320867"/>
    <w:rsid w:val="003214EC"/>
    <w:rsid w:val="003219D7"/>
    <w:rsid w:val="00321D51"/>
    <w:rsid w:val="0032266F"/>
    <w:rsid w:val="00322E5F"/>
    <w:rsid w:val="003238A9"/>
    <w:rsid w:val="00323E7D"/>
    <w:rsid w:val="0032427F"/>
    <w:rsid w:val="003254A1"/>
    <w:rsid w:val="003254C8"/>
    <w:rsid w:val="00325D8A"/>
    <w:rsid w:val="003261D7"/>
    <w:rsid w:val="00330A62"/>
    <w:rsid w:val="00331149"/>
    <w:rsid w:val="0033127E"/>
    <w:rsid w:val="00332B59"/>
    <w:rsid w:val="00332ED1"/>
    <w:rsid w:val="003332D1"/>
    <w:rsid w:val="0033432F"/>
    <w:rsid w:val="00334BC4"/>
    <w:rsid w:val="00334D47"/>
    <w:rsid w:val="003350E5"/>
    <w:rsid w:val="00335550"/>
    <w:rsid w:val="00335B74"/>
    <w:rsid w:val="00336000"/>
    <w:rsid w:val="0033623B"/>
    <w:rsid w:val="00336B53"/>
    <w:rsid w:val="00336BD9"/>
    <w:rsid w:val="0034005E"/>
    <w:rsid w:val="00340707"/>
    <w:rsid w:val="00340B85"/>
    <w:rsid w:val="00341121"/>
    <w:rsid w:val="00341A60"/>
    <w:rsid w:val="00343AEE"/>
    <w:rsid w:val="00344856"/>
    <w:rsid w:val="00344CFD"/>
    <w:rsid w:val="00347AFB"/>
    <w:rsid w:val="003500FC"/>
    <w:rsid w:val="00350592"/>
    <w:rsid w:val="003519BD"/>
    <w:rsid w:val="0035347D"/>
    <w:rsid w:val="00354345"/>
    <w:rsid w:val="00354566"/>
    <w:rsid w:val="00354824"/>
    <w:rsid w:val="0035586F"/>
    <w:rsid w:val="00356012"/>
    <w:rsid w:val="003619EB"/>
    <w:rsid w:val="00364604"/>
    <w:rsid w:val="00364FCF"/>
    <w:rsid w:val="00365700"/>
    <w:rsid w:val="00365B62"/>
    <w:rsid w:val="00365C9F"/>
    <w:rsid w:val="00366112"/>
    <w:rsid w:val="00367169"/>
    <w:rsid w:val="003706F9"/>
    <w:rsid w:val="003707AF"/>
    <w:rsid w:val="00370BEC"/>
    <w:rsid w:val="00372CC4"/>
    <w:rsid w:val="0037336E"/>
    <w:rsid w:val="00374522"/>
    <w:rsid w:val="00374F1A"/>
    <w:rsid w:val="00380D0E"/>
    <w:rsid w:val="00381181"/>
    <w:rsid w:val="003825C3"/>
    <w:rsid w:val="00382623"/>
    <w:rsid w:val="00382B3F"/>
    <w:rsid w:val="00382E2F"/>
    <w:rsid w:val="00383166"/>
    <w:rsid w:val="00384139"/>
    <w:rsid w:val="0038422E"/>
    <w:rsid w:val="00384426"/>
    <w:rsid w:val="00384DD2"/>
    <w:rsid w:val="00385D94"/>
    <w:rsid w:val="003906BF"/>
    <w:rsid w:val="003911F8"/>
    <w:rsid w:val="00392455"/>
    <w:rsid w:val="00392ED2"/>
    <w:rsid w:val="003933D1"/>
    <w:rsid w:val="00393A4C"/>
    <w:rsid w:val="00393D5C"/>
    <w:rsid w:val="00395995"/>
    <w:rsid w:val="0039748C"/>
    <w:rsid w:val="003978F2"/>
    <w:rsid w:val="003A0F04"/>
    <w:rsid w:val="003A19A4"/>
    <w:rsid w:val="003A1EE8"/>
    <w:rsid w:val="003A1F54"/>
    <w:rsid w:val="003A2416"/>
    <w:rsid w:val="003A2611"/>
    <w:rsid w:val="003A3370"/>
    <w:rsid w:val="003A36C4"/>
    <w:rsid w:val="003A38E1"/>
    <w:rsid w:val="003A45EF"/>
    <w:rsid w:val="003A5389"/>
    <w:rsid w:val="003A62E1"/>
    <w:rsid w:val="003A6FC6"/>
    <w:rsid w:val="003A7131"/>
    <w:rsid w:val="003A730A"/>
    <w:rsid w:val="003B099E"/>
    <w:rsid w:val="003B0F30"/>
    <w:rsid w:val="003B0F34"/>
    <w:rsid w:val="003B1802"/>
    <w:rsid w:val="003B1A32"/>
    <w:rsid w:val="003B2D11"/>
    <w:rsid w:val="003B340E"/>
    <w:rsid w:val="003B3773"/>
    <w:rsid w:val="003B4024"/>
    <w:rsid w:val="003B5A9B"/>
    <w:rsid w:val="003B6C38"/>
    <w:rsid w:val="003B7459"/>
    <w:rsid w:val="003B745D"/>
    <w:rsid w:val="003B7B7B"/>
    <w:rsid w:val="003B7DD9"/>
    <w:rsid w:val="003C0C32"/>
    <w:rsid w:val="003C0DEA"/>
    <w:rsid w:val="003C111F"/>
    <w:rsid w:val="003C12A9"/>
    <w:rsid w:val="003C19A1"/>
    <w:rsid w:val="003C1FF9"/>
    <w:rsid w:val="003C2161"/>
    <w:rsid w:val="003C2772"/>
    <w:rsid w:val="003C2C11"/>
    <w:rsid w:val="003C3FBD"/>
    <w:rsid w:val="003C5927"/>
    <w:rsid w:val="003C62DB"/>
    <w:rsid w:val="003C643C"/>
    <w:rsid w:val="003C6C90"/>
    <w:rsid w:val="003C6F34"/>
    <w:rsid w:val="003C6F9D"/>
    <w:rsid w:val="003C7B04"/>
    <w:rsid w:val="003C7E8C"/>
    <w:rsid w:val="003D0A04"/>
    <w:rsid w:val="003D2711"/>
    <w:rsid w:val="003D42A8"/>
    <w:rsid w:val="003D45BF"/>
    <w:rsid w:val="003D5C4E"/>
    <w:rsid w:val="003D6D43"/>
    <w:rsid w:val="003D7166"/>
    <w:rsid w:val="003D7B8F"/>
    <w:rsid w:val="003E0EEB"/>
    <w:rsid w:val="003E17EC"/>
    <w:rsid w:val="003E2555"/>
    <w:rsid w:val="003E2606"/>
    <w:rsid w:val="003E26C7"/>
    <w:rsid w:val="003E2A48"/>
    <w:rsid w:val="003E30F6"/>
    <w:rsid w:val="003E4064"/>
    <w:rsid w:val="003E4363"/>
    <w:rsid w:val="003E4A82"/>
    <w:rsid w:val="003E5043"/>
    <w:rsid w:val="003E512F"/>
    <w:rsid w:val="003F13E1"/>
    <w:rsid w:val="003F19F6"/>
    <w:rsid w:val="003F19FB"/>
    <w:rsid w:val="003F2076"/>
    <w:rsid w:val="003F267E"/>
    <w:rsid w:val="003F3392"/>
    <w:rsid w:val="003F3B15"/>
    <w:rsid w:val="003F4C4A"/>
    <w:rsid w:val="003F4D4A"/>
    <w:rsid w:val="003F58D9"/>
    <w:rsid w:val="003F5C3F"/>
    <w:rsid w:val="003F63F4"/>
    <w:rsid w:val="003F6D38"/>
    <w:rsid w:val="003F74D7"/>
    <w:rsid w:val="00400223"/>
    <w:rsid w:val="0040331D"/>
    <w:rsid w:val="00403B5A"/>
    <w:rsid w:val="00403BE7"/>
    <w:rsid w:val="00404D0C"/>
    <w:rsid w:val="00405661"/>
    <w:rsid w:val="00406E25"/>
    <w:rsid w:val="00407547"/>
    <w:rsid w:val="00407DED"/>
    <w:rsid w:val="00410FAC"/>
    <w:rsid w:val="00411141"/>
    <w:rsid w:val="004114E9"/>
    <w:rsid w:val="004117DC"/>
    <w:rsid w:val="0041277B"/>
    <w:rsid w:val="00412BD0"/>
    <w:rsid w:val="00412EB4"/>
    <w:rsid w:val="0041308E"/>
    <w:rsid w:val="004144A3"/>
    <w:rsid w:val="0041458C"/>
    <w:rsid w:val="00415398"/>
    <w:rsid w:val="00415444"/>
    <w:rsid w:val="00415E16"/>
    <w:rsid w:val="00416447"/>
    <w:rsid w:val="00416D10"/>
    <w:rsid w:val="004205CF"/>
    <w:rsid w:val="00420A42"/>
    <w:rsid w:val="00421D02"/>
    <w:rsid w:val="0042231D"/>
    <w:rsid w:val="00424320"/>
    <w:rsid w:val="0042467D"/>
    <w:rsid w:val="00426AC4"/>
    <w:rsid w:val="0042752A"/>
    <w:rsid w:val="004302D9"/>
    <w:rsid w:val="00430D2D"/>
    <w:rsid w:val="004312AE"/>
    <w:rsid w:val="004315E3"/>
    <w:rsid w:val="004329AD"/>
    <w:rsid w:val="00432B95"/>
    <w:rsid w:val="0043364E"/>
    <w:rsid w:val="004341A1"/>
    <w:rsid w:val="004341BD"/>
    <w:rsid w:val="00435377"/>
    <w:rsid w:val="0043559B"/>
    <w:rsid w:val="004370F9"/>
    <w:rsid w:val="004378E9"/>
    <w:rsid w:val="004408CE"/>
    <w:rsid w:val="004414D2"/>
    <w:rsid w:val="004415AD"/>
    <w:rsid w:val="00441B6D"/>
    <w:rsid w:val="00442B3E"/>
    <w:rsid w:val="00442F4C"/>
    <w:rsid w:val="004467E5"/>
    <w:rsid w:val="00446F98"/>
    <w:rsid w:val="004501B8"/>
    <w:rsid w:val="0045038C"/>
    <w:rsid w:val="00450973"/>
    <w:rsid w:val="00450DEB"/>
    <w:rsid w:val="00450DF8"/>
    <w:rsid w:val="00452D4B"/>
    <w:rsid w:val="004534FF"/>
    <w:rsid w:val="0045395D"/>
    <w:rsid w:val="00454788"/>
    <w:rsid w:val="00454A82"/>
    <w:rsid w:val="004556CC"/>
    <w:rsid w:val="00457190"/>
    <w:rsid w:val="0045737E"/>
    <w:rsid w:val="004576A3"/>
    <w:rsid w:val="00457DC0"/>
    <w:rsid w:val="00461FC0"/>
    <w:rsid w:val="00462044"/>
    <w:rsid w:val="0046255C"/>
    <w:rsid w:val="004625FA"/>
    <w:rsid w:val="00462E0D"/>
    <w:rsid w:val="0046461E"/>
    <w:rsid w:val="00464647"/>
    <w:rsid w:val="00464D27"/>
    <w:rsid w:val="0046510F"/>
    <w:rsid w:val="00465C29"/>
    <w:rsid w:val="00465C5B"/>
    <w:rsid w:val="00466D4B"/>
    <w:rsid w:val="004701C6"/>
    <w:rsid w:val="0047029A"/>
    <w:rsid w:val="00470F9F"/>
    <w:rsid w:val="00471273"/>
    <w:rsid w:val="004718B1"/>
    <w:rsid w:val="004720C8"/>
    <w:rsid w:val="0047307B"/>
    <w:rsid w:val="0047511B"/>
    <w:rsid w:val="00475375"/>
    <w:rsid w:val="00476ED2"/>
    <w:rsid w:val="00477B8F"/>
    <w:rsid w:val="004800F5"/>
    <w:rsid w:val="00480E01"/>
    <w:rsid w:val="00481472"/>
    <w:rsid w:val="00482F38"/>
    <w:rsid w:val="004837B6"/>
    <w:rsid w:val="004838C3"/>
    <w:rsid w:val="0048460F"/>
    <w:rsid w:val="004859EF"/>
    <w:rsid w:val="00486291"/>
    <w:rsid w:val="00486B2E"/>
    <w:rsid w:val="00487078"/>
    <w:rsid w:val="004875E5"/>
    <w:rsid w:val="00490293"/>
    <w:rsid w:val="00490558"/>
    <w:rsid w:val="00490B9B"/>
    <w:rsid w:val="00490EEF"/>
    <w:rsid w:val="00492899"/>
    <w:rsid w:val="004942E7"/>
    <w:rsid w:val="00494634"/>
    <w:rsid w:val="004947F0"/>
    <w:rsid w:val="004954B9"/>
    <w:rsid w:val="00495722"/>
    <w:rsid w:val="00495860"/>
    <w:rsid w:val="004962BD"/>
    <w:rsid w:val="00496CF7"/>
    <w:rsid w:val="004978E1"/>
    <w:rsid w:val="00497A2E"/>
    <w:rsid w:val="004A011B"/>
    <w:rsid w:val="004A012C"/>
    <w:rsid w:val="004A0E47"/>
    <w:rsid w:val="004A124B"/>
    <w:rsid w:val="004A3607"/>
    <w:rsid w:val="004A43A9"/>
    <w:rsid w:val="004A5551"/>
    <w:rsid w:val="004A55E8"/>
    <w:rsid w:val="004A6394"/>
    <w:rsid w:val="004A7270"/>
    <w:rsid w:val="004A7362"/>
    <w:rsid w:val="004A7D29"/>
    <w:rsid w:val="004B0F97"/>
    <w:rsid w:val="004B171F"/>
    <w:rsid w:val="004B2FE0"/>
    <w:rsid w:val="004B385A"/>
    <w:rsid w:val="004B3EF7"/>
    <w:rsid w:val="004B3F04"/>
    <w:rsid w:val="004B4439"/>
    <w:rsid w:val="004B4A6F"/>
    <w:rsid w:val="004B5CE2"/>
    <w:rsid w:val="004B72AF"/>
    <w:rsid w:val="004B7719"/>
    <w:rsid w:val="004B782B"/>
    <w:rsid w:val="004B7A99"/>
    <w:rsid w:val="004C33CB"/>
    <w:rsid w:val="004C3952"/>
    <w:rsid w:val="004C56AA"/>
    <w:rsid w:val="004C57FF"/>
    <w:rsid w:val="004C62B4"/>
    <w:rsid w:val="004C6480"/>
    <w:rsid w:val="004C72A8"/>
    <w:rsid w:val="004C7DA8"/>
    <w:rsid w:val="004D0A1E"/>
    <w:rsid w:val="004D1B66"/>
    <w:rsid w:val="004D1CBD"/>
    <w:rsid w:val="004D1F84"/>
    <w:rsid w:val="004D2136"/>
    <w:rsid w:val="004D22A8"/>
    <w:rsid w:val="004D2601"/>
    <w:rsid w:val="004D3E88"/>
    <w:rsid w:val="004D438A"/>
    <w:rsid w:val="004D570C"/>
    <w:rsid w:val="004D5C1A"/>
    <w:rsid w:val="004D5CA3"/>
    <w:rsid w:val="004D6207"/>
    <w:rsid w:val="004D71B9"/>
    <w:rsid w:val="004E0642"/>
    <w:rsid w:val="004E2B4D"/>
    <w:rsid w:val="004E39BB"/>
    <w:rsid w:val="004E4434"/>
    <w:rsid w:val="004E4E43"/>
    <w:rsid w:val="004E57E2"/>
    <w:rsid w:val="004E57F7"/>
    <w:rsid w:val="004E5916"/>
    <w:rsid w:val="004E5AFD"/>
    <w:rsid w:val="004E5DC6"/>
    <w:rsid w:val="004E5DDC"/>
    <w:rsid w:val="004E74DB"/>
    <w:rsid w:val="004E7C4D"/>
    <w:rsid w:val="004F0ED4"/>
    <w:rsid w:val="004F1F6C"/>
    <w:rsid w:val="004F20F9"/>
    <w:rsid w:val="004F24F8"/>
    <w:rsid w:val="004F4ADF"/>
    <w:rsid w:val="004F55DB"/>
    <w:rsid w:val="004F5910"/>
    <w:rsid w:val="004F60D6"/>
    <w:rsid w:val="004F6D2D"/>
    <w:rsid w:val="005011A5"/>
    <w:rsid w:val="0050250C"/>
    <w:rsid w:val="00502B73"/>
    <w:rsid w:val="00504E55"/>
    <w:rsid w:val="00505556"/>
    <w:rsid w:val="00505A96"/>
    <w:rsid w:val="005070D9"/>
    <w:rsid w:val="005073EC"/>
    <w:rsid w:val="0051088B"/>
    <w:rsid w:val="00510A7D"/>
    <w:rsid w:val="00511781"/>
    <w:rsid w:val="005125DF"/>
    <w:rsid w:val="00512C72"/>
    <w:rsid w:val="005134F6"/>
    <w:rsid w:val="005137B2"/>
    <w:rsid w:val="0051397A"/>
    <w:rsid w:val="005140BA"/>
    <w:rsid w:val="005150DE"/>
    <w:rsid w:val="00515B11"/>
    <w:rsid w:val="00515B1B"/>
    <w:rsid w:val="00515CCA"/>
    <w:rsid w:val="005160A1"/>
    <w:rsid w:val="00516756"/>
    <w:rsid w:val="0051741F"/>
    <w:rsid w:val="005176A3"/>
    <w:rsid w:val="00517DFD"/>
    <w:rsid w:val="00521115"/>
    <w:rsid w:val="0052146E"/>
    <w:rsid w:val="00521B6B"/>
    <w:rsid w:val="00522A88"/>
    <w:rsid w:val="00523885"/>
    <w:rsid w:val="00524111"/>
    <w:rsid w:val="005248B9"/>
    <w:rsid w:val="00524D49"/>
    <w:rsid w:val="0052690A"/>
    <w:rsid w:val="0052691E"/>
    <w:rsid w:val="00526BD9"/>
    <w:rsid w:val="00526FC7"/>
    <w:rsid w:val="0052721D"/>
    <w:rsid w:val="00530F86"/>
    <w:rsid w:val="005314A5"/>
    <w:rsid w:val="00532300"/>
    <w:rsid w:val="005356D9"/>
    <w:rsid w:val="00535DAA"/>
    <w:rsid w:val="00536201"/>
    <w:rsid w:val="00540CAB"/>
    <w:rsid w:val="00542F68"/>
    <w:rsid w:val="0054333F"/>
    <w:rsid w:val="00543649"/>
    <w:rsid w:val="00543BEF"/>
    <w:rsid w:val="00543C9E"/>
    <w:rsid w:val="005440A1"/>
    <w:rsid w:val="005445B7"/>
    <w:rsid w:val="00544E44"/>
    <w:rsid w:val="005452F9"/>
    <w:rsid w:val="00545991"/>
    <w:rsid w:val="005464AC"/>
    <w:rsid w:val="00546514"/>
    <w:rsid w:val="00546DE5"/>
    <w:rsid w:val="00547849"/>
    <w:rsid w:val="005500B5"/>
    <w:rsid w:val="005509FC"/>
    <w:rsid w:val="00551EC2"/>
    <w:rsid w:val="005520C4"/>
    <w:rsid w:val="00552844"/>
    <w:rsid w:val="005529B2"/>
    <w:rsid w:val="00553C27"/>
    <w:rsid w:val="0055486B"/>
    <w:rsid w:val="005551A9"/>
    <w:rsid w:val="00556E29"/>
    <w:rsid w:val="00557254"/>
    <w:rsid w:val="005574C7"/>
    <w:rsid w:val="00557AEF"/>
    <w:rsid w:val="00560FFB"/>
    <w:rsid w:val="00561273"/>
    <w:rsid w:val="00561700"/>
    <w:rsid w:val="00562C10"/>
    <w:rsid w:val="00562F38"/>
    <w:rsid w:val="0056316C"/>
    <w:rsid w:val="00564B15"/>
    <w:rsid w:val="0056639D"/>
    <w:rsid w:val="00566496"/>
    <w:rsid w:val="005678D9"/>
    <w:rsid w:val="00567E74"/>
    <w:rsid w:val="005708AC"/>
    <w:rsid w:val="00570FC4"/>
    <w:rsid w:val="0057103B"/>
    <w:rsid w:val="00571323"/>
    <w:rsid w:val="00571FB2"/>
    <w:rsid w:val="00572B18"/>
    <w:rsid w:val="00572DBD"/>
    <w:rsid w:val="00573750"/>
    <w:rsid w:val="00573ABF"/>
    <w:rsid w:val="0057496C"/>
    <w:rsid w:val="00574AE8"/>
    <w:rsid w:val="00575305"/>
    <w:rsid w:val="0057596D"/>
    <w:rsid w:val="00576235"/>
    <w:rsid w:val="005764EF"/>
    <w:rsid w:val="00576817"/>
    <w:rsid w:val="00576EA2"/>
    <w:rsid w:val="005776E6"/>
    <w:rsid w:val="0058196D"/>
    <w:rsid w:val="00583F6D"/>
    <w:rsid w:val="00584149"/>
    <w:rsid w:val="00584309"/>
    <w:rsid w:val="0058580D"/>
    <w:rsid w:val="005859A1"/>
    <w:rsid w:val="00585DC4"/>
    <w:rsid w:val="00586A90"/>
    <w:rsid w:val="00586AD2"/>
    <w:rsid w:val="00586CDB"/>
    <w:rsid w:val="00587D41"/>
    <w:rsid w:val="00587DCF"/>
    <w:rsid w:val="005900D7"/>
    <w:rsid w:val="00590147"/>
    <w:rsid w:val="00590646"/>
    <w:rsid w:val="00590B88"/>
    <w:rsid w:val="00590D2C"/>
    <w:rsid w:val="0059102E"/>
    <w:rsid w:val="00592087"/>
    <w:rsid w:val="0059289E"/>
    <w:rsid w:val="00592981"/>
    <w:rsid w:val="00592AE5"/>
    <w:rsid w:val="005937ED"/>
    <w:rsid w:val="00594517"/>
    <w:rsid w:val="005947E8"/>
    <w:rsid w:val="00594894"/>
    <w:rsid w:val="00594E3C"/>
    <w:rsid w:val="005951AC"/>
    <w:rsid w:val="00595377"/>
    <w:rsid w:val="00596B91"/>
    <w:rsid w:val="0059709A"/>
    <w:rsid w:val="00597421"/>
    <w:rsid w:val="00597F91"/>
    <w:rsid w:val="005A0379"/>
    <w:rsid w:val="005A0608"/>
    <w:rsid w:val="005A2E2A"/>
    <w:rsid w:val="005A2FEE"/>
    <w:rsid w:val="005A3E26"/>
    <w:rsid w:val="005A429B"/>
    <w:rsid w:val="005A42BA"/>
    <w:rsid w:val="005A539B"/>
    <w:rsid w:val="005A6AB7"/>
    <w:rsid w:val="005A7584"/>
    <w:rsid w:val="005B0B33"/>
    <w:rsid w:val="005B10D6"/>
    <w:rsid w:val="005B115C"/>
    <w:rsid w:val="005B1214"/>
    <w:rsid w:val="005B1ED9"/>
    <w:rsid w:val="005B3359"/>
    <w:rsid w:val="005B33AB"/>
    <w:rsid w:val="005B4E80"/>
    <w:rsid w:val="005B5B9A"/>
    <w:rsid w:val="005B6194"/>
    <w:rsid w:val="005B7DA8"/>
    <w:rsid w:val="005C06C4"/>
    <w:rsid w:val="005C0D40"/>
    <w:rsid w:val="005C0F39"/>
    <w:rsid w:val="005C12A2"/>
    <w:rsid w:val="005C1445"/>
    <w:rsid w:val="005C16D0"/>
    <w:rsid w:val="005C1BC5"/>
    <w:rsid w:val="005C335E"/>
    <w:rsid w:val="005C3730"/>
    <w:rsid w:val="005C3929"/>
    <w:rsid w:val="005C4074"/>
    <w:rsid w:val="005C629C"/>
    <w:rsid w:val="005C6AEC"/>
    <w:rsid w:val="005C75B4"/>
    <w:rsid w:val="005C76AC"/>
    <w:rsid w:val="005C7B25"/>
    <w:rsid w:val="005D17D0"/>
    <w:rsid w:val="005D1EDF"/>
    <w:rsid w:val="005D2784"/>
    <w:rsid w:val="005D28AC"/>
    <w:rsid w:val="005D2FBE"/>
    <w:rsid w:val="005D5B73"/>
    <w:rsid w:val="005D73C8"/>
    <w:rsid w:val="005D73D7"/>
    <w:rsid w:val="005D768C"/>
    <w:rsid w:val="005D7A56"/>
    <w:rsid w:val="005D7F81"/>
    <w:rsid w:val="005E063A"/>
    <w:rsid w:val="005E1F7E"/>
    <w:rsid w:val="005E27D8"/>
    <w:rsid w:val="005E3B56"/>
    <w:rsid w:val="005E42CF"/>
    <w:rsid w:val="005E49EE"/>
    <w:rsid w:val="005E59E2"/>
    <w:rsid w:val="005E5A64"/>
    <w:rsid w:val="005E67D3"/>
    <w:rsid w:val="005E7504"/>
    <w:rsid w:val="005E7638"/>
    <w:rsid w:val="005E77C0"/>
    <w:rsid w:val="005F10B6"/>
    <w:rsid w:val="005F1996"/>
    <w:rsid w:val="005F34E6"/>
    <w:rsid w:val="005F6467"/>
    <w:rsid w:val="005F7D8B"/>
    <w:rsid w:val="005F7E33"/>
    <w:rsid w:val="006001D3"/>
    <w:rsid w:val="00600514"/>
    <w:rsid w:val="00600D88"/>
    <w:rsid w:val="006010AD"/>
    <w:rsid w:val="006011BD"/>
    <w:rsid w:val="00601AF5"/>
    <w:rsid w:val="00601D94"/>
    <w:rsid w:val="00602BAB"/>
    <w:rsid w:val="006039F7"/>
    <w:rsid w:val="00603D2F"/>
    <w:rsid w:val="0060475D"/>
    <w:rsid w:val="00604797"/>
    <w:rsid w:val="00604C83"/>
    <w:rsid w:val="006067BB"/>
    <w:rsid w:val="006103E4"/>
    <w:rsid w:val="00612B76"/>
    <w:rsid w:val="00613AAF"/>
    <w:rsid w:val="00614136"/>
    <w:rsid w:val="00614A19"/>
    <w:rsid w:val="006155CF"/>
    <w:rsid w:val="006161E8"/>
    <w:rsid w:val="00616A2A"/>
    <w:rsid w:val="006174D0"/>
    <w:rsid w:val="00617CBB"/>
    <w:rsid w:val="00617F39"/>
    <w:rsid w:val="00620293"/>
    <w:rsid w:val="00620A8A"/>
    <w:rsid w:val="00622C4A"/>
    <w:rsid w:val="00623982"/>
    <w:rsid w:val="00623C4A"/>
    <w:rsid w:val="00623D37"/>
    <w:rsid w:val="00623DBA"/>
    <w:rsid w:val="006242B4"/>
    <w:rsid w:val="006247E9"/>
    <w:rsid w:val="00624A22"/>
    <w:rsid w:val="00624F5F"/>
    <w:rsid w:val="00625E9B"/>
    <w:rsid w:val="006269EB"/>
    <w:rsid w:val="006275AE"/>
    <w:rsid w:val="00627AB8"/>
    <w:rsid w:val="00627B84"/>
    <w:rsid w:val="0063003E"/>
    <w:rsid w:val="00630629"/>
    <w:rsid w:val="00630B02"/>
    <w:rsid w:val="006327B6"/>
    <w:rsid w:val="00632DDE"/>
    <w:rsid w:val="0063317E"/>
    <w:rsid w:val="006333CE"/>
    <w:rsid w:val="006342DF"/>
    <w:rsid w:val="00634DCE"/>
    <w:rsid w:val="00636CC5"/>
    <w:rsid w:val="00637156"/>
    <w:rsid w:val="006372C2"/>
    <w:rsid w:val="00637EF3"/>
    <w:rsid w:val="006406CB"/>
    <w:rsid w:val="00640B07"/>
    <w:rsid w:val="00640C37"/>
    <w:rsid w:val="00642425"/>
    <w:rsid w:val="00642454"/>
    <w:rsid w:val="006426B1"/>
    <w:rsid w:val="00643F52"/>
    <w:rsid w:val="00644719"/>
    <w:rsid w:val="00644C5B"/>
    <w:rsid w:val="0064562A"/>
    <w:rsid w:val="00645B70"/>
    <w:rsid w:val="00645CB4"/>
    <w:rsid w:val="00645E41"/>
    <w:rsid w:val="006465C9"/>
    <w:rsid w:val="00646AD9"/>
    <w:rsid w:val="006474E8"/>
    <w:rsid w:val="00647D1E"/>
    <w:rsid w:val="006507EB"/>
    <w:rsid w:val="00650B0C"/>
    <w:rsid w:val="00651125"/>
    <w:rsid w:val="006520AF"/>
    <w:rsid w:val="00652202"/>
    <w:rsid w:val="006522E6"/>
    <w:rsid w:val="00654228"/>
    <w:rsid w:val="00654330"/>
    <w:rsid w:val="00654DF0"/>
    <w:rsid w:val="0065757F"/>
    <w:rsid w:val="0065794D"/>
    <w:rsid w:val="0066007C"/>
    <w:rsid w:val="00660E35"/>
    <w:rsid w:val="0066100C"/>
    <w:rsid w:val="006612A4"/>
    <w:rsid w:val="006634A5"/>
    <w:rsid w:val="006635A7"/>
    <w:rsid w:val="0066471F"/>
    <w:rsid w:val="006664C2"/>
    <w:rsid w:val="00667904"/>
    <w:rsid w:val="00670128"/>
    <w:rsid w:val="00670410"/>
    <w:rsid w:val="006706BF"/>
    <w:rsid w:val="00670E29"/>
    <w:rsid w:val="00671900"/>
    <w:rsid w:val="00671CB9"/>
    <w:rsid w:val="00671D18"/>
    <w:rsid w:val="00672340"/>
    <w:rsid w:val="00672B0E"/>
    <w:rsid w:val="00672B44"/>
    <w:rsid w:val="00672B6F"/>
    <w:rsid w:val="00673297"/>
    <w:rsid w:val="00673537"/>
    <w:rsid w:val="00674837"/>
    <w:rsid w:val="006752F8"/>
    <w:rsid w:val="00677175"/>
    <w:rsid w:val="00677301"/>
    <w:rsid w:val="0067757F"/>
    <w:rsid w:val="006779A4"/>
    <w:rsid w:val="0068015D"/>
    <w:rsid w:val="00681AA7"/>
    <w:rsid w:val="006828BB"/>
    <w:rsid w:val="00683166"/>
    <w:rsid w:val="00683B92"/>
    <w:rsid w:val="00685332"/>
    <w:rsid w:val="00685502"/>
    <w:rsid w:val="00686533"/>
    <w:rsid w:val="0068737B"/>
    <w:rsid w:val="00690856"/>
    <w:rsid w:val="0069164D"/>
    <w:rsid w:val="0069195A"/>
    <w:rsid w:val="0069381B"/>
    <w:rsid w:val="006938A2"/>
    <w:rsid w:val="0069529A"/>
    <w:rsid w:val="0069547E"/>
    <w:rsid w:val="00695587"/>
    <w:rsid w:val="00695FD2"/>
    <w:rsid w:val="006960CA"/>
    <w:rsid w:val="006972A4"/>
    <w:rsid w:val="00697A36"/>
    <w:rsid w:val="006A01FB"/>
    <w:rsid w:val="006A0C3A"/>
    <w:rsid w:val="006A0F19"/>
    <w:rsid w:val="006A3EC7"/>
    <w:rsid w:val="006A49C3"/>
    <w:rsid w:val="006A5F4A"/>
    <w:rsid w:val="006A6703"/>
    <w:rsid w:val="006A68B6"/>
    <w:rsid w:val="006B0617"/>
    <w:rsid w:val="006B3B36"/>
    <w:rsid w:val="006B4E45"/>
    <w:rsid w:val="006B53A5"/>
    <w:rsid w:val="006B566B"/>
    <w:rsid w:val="006B5F92"/>
    <w:rsid w:val="006B6CCA"/>
    <w:rsid w:val="006B7460"/>
    <w:rsid w:val="006B76E7"/>
    <w:rsid w:val="006B77FD"/>
    <w:rsid w:val="006B7ABF"/>
    <w:rsid w:val="006C0187"/>
    <w:rsid w:val="006C0AD3"/>
    <w:rsid w:val="006C2FCB"/>
    <w:rsid w:val="006C4A97"/>
    <w:rsid w:val="006C4E64"/>
    <w:rsid w:val="006C5294"/>
    <w:rsid w:val="006C5483"/>
    <w:rsid w:val="006C610E"/>
    <w:rsid w:val="006C67DE"/>
    <w:rsid w:val="006C7360"/>
    <w:rsid w:val="006D0388"/>
    <w:rsid w:val="006D056B"/>
    <w:rsid w:val="006D0889"/>
    <w:rsid w:val="006D23E1"/>
    <w:rsid w:val="006D24E3"/>
    <w:rsid w:val="006D27EC"/>
    <w:rsid w:val="006D47F9"/>
    <w:rsid w:val="006D490D"/>
    <w:rsid w:val="006D4A80"/>
    <w:rsid w:val="006D5014"/>
    <w:rsid w:val="006D516F"/>
    <w:rsid w:val="006D5725"/>
    <w:rsid w:val="006D631B"/>
    <w:rsid w:val="006D6C01"/>
    <w:rsid w:val="006D72AF"/>
    <w:rsid w:val="006D74B0"/>
    <w:rsid w:val="006D7CBC"/>
    <w:rsid w:val="006E1393"/>
    <w:rsid w:val="006E2E9B"/>
    <w:rsid w:val="006E31F7"/>
    <w:rsid w:val="006E3E02"/>
    <w:rsid w:val="006E4661"/>
    <w:rsid w:val="006E5510"/>
    <w:rsid w:val="006E5598"/>
    <w:rsid w:val="006E5B7E"/>
    <w:rsid w:val="006E677D"/>
    <w:rsid w:val="006E713A"/>
    <w:rsid w:val="006E78BD"/>
    <w:rsid w:val="006E7B86"/>
    <w:rsid w:val="006F0A74"/>
    <w:rsid w:val="006F1F0E"/>
    <w:rsid w:val="006F33DB"/>
    <w:rsid w:val="006F3A7A"/>
    <w:rsid w:val="006F4E64"/>
    <w:rsid w:val="006F50F1"/>
    <w:rsid w:val="006F522D"/>
    <w:rsid w:val="006F5FB4"/>
    <w:rsid w:val="006F6F0C"/>
    <w:rsid w:val="006F76E6"/>
    <w:rsid w:val="006F7ACE"/>
    <w:rsid w:val="006F7C6C"/>
    <w:rsid w:val="00701390"/>
    <w:rsid w:val="007022C5"/>
    <w:rsid w:val="00702DEC"/>
    <w:rsid w:val="00702E1A"/>
    <w:rsid w:val="00702E4B"/>
    <w:rsid w:val="0070350A"/>
    <w:rsid w:val="0070392E"/>
    <w:rsid w:val="00703B21"/>
    <w:rsid w:val="00703DD8"/>
    <w:rsid w:val="007049C9"/>
    <w:rsid w:val="00705196"/>
    <w:rsid w:val="0070712D"/>
    <w:rsid w:val="00707A6C"/>
    <w:rsid w:val="00707D59"/>
    <w:rsid w:val="0071045F"/>
    <w:rsid w:val="007111AA"/>
    <w:rsid w:val="007115CD"/>
    <w:rsid w:val="00711EA6"/>
    <w:rsid w:val="00712651"/>
    <w:rsid w:val="007137EA"/>
    <w:rsid w:val="00714127"/>
    <w:rsid w:val="00714338"/>
    <w:rsid w:val="00714A51"/>
    <w:rsid w:val="0071523A"/>
    <w:rsid w:val="00715452"/>
    <w:rsid w:val="007155A5"/>
    <w:rsid w:val="00716863"/>
    <w:rsid w:val="00716E05"/>
    <w:rsid w:val="007174C3"/>
    <w:rsid w:val="00720C75"/>
    <w:rsid w:val="00720F76"/>
    <w:rsid w:val="007228EB"/>
    <w:rsid w:val="007233FE"/>
    <w:rsid w:val="0072356F"/>
    <w:rsid w:val="00723A7F"/>
    <w:rsid w:val="00723CC6"/>
    <w:rsid w:val="007243EB"/>
    <w:rsid w:val="007257ED"/>
    <w:rsid w:val="00725837"/>
    <w:rsid w:val="00726D30"/>
    <w:rsid w:val="0072703B"/>
    <w:rsid w:val="00727051"/>
    <w:rsid w:val="007274A0"/>
    <w:rsid w:val="0073027F"/>
    <w:rsid w:val="00730A41"/>
    <w:rsid w:val="007313C1"/>
    <w:rsid w:val="007318AD"/>
    <w:rsid w:val="00731A1B"/>
    <w:rsid w:val="0073397B"/>
    <w:rsid w:val="00734228"/>
    <w:rsid w:val="00734EF3"/>
    <w:rsid w:val="00735ACE"/>
    <w:rsid w:val="00735BC9"/>
    <w:rsid w:val="00735ED2"/>
    <w:rsid w:val="0073610E"/>
    <w:rsid w:val="00736822"/>
    <w:rsid w:val="00737548"/>
    <w:rsid w:val="00737EFE"/>
    <w:rsid w:val="00737FDF"/>
    <w:rsid w:val="00740604"/>
    <w:rsid w:val="007417A5"/>
    <w:rsid w:val="007419A7"/>
    <w:rsid w:val="007428BD"/>
    <w:rsid w:val="00742C48"/>
    <w:rsid w:val="00743B02"/>
    <w:rsid w:val="00745260"/>
    <w:rsid w:val="00745831"/>
    <w:rsid w:val="0074590F"/>
    <w:rsid w:val="007465F1"/>
    <w:rsid w:val="00746660"/>
    <w:rsid w:val="007466C4"/>
    <w:rsid w:val="007467BB"/>
    <w:rsid w:val="007519CF"/>
    <w:rsid w:val="00752646"/>
    <w:rsid w:val="007536BE"/>
    <w:rsid w:val="00754FAA"/>
    <w:rsid w:val="0075622C"/>
    <w:rsid w:val="007568D7"/>
    <w:rsid w:val="00756D11"/>
    <w:rsid w:val="00757E1D"/>
    <w:rsid w:val="00760850"/>
    <w:rsid w:val="00760B34"/>
    <w:rsid w:val="00760C07"/>
    <w:rsid w:val="00763FA0"/>
    <w:rsid w:val="007653FF"/>
    <w:rsid w:val="00765501"/>
    <w:rsid w:val="00765D50"/>
    <w:rsid w:val="0077021B"/>
    <w:rsid w:val="00770789"/>
    <w:rsid w:val="00770E34"/>
    <w:rsid w:val="00771102"/>
    <w:rsid w:val="00771EEA"/>
    <w:rsid w:val="00771FDF"/>
    <w:rsid w:val="0077243F"/>
    <w:rsid w:val="007726B8"/>
    <w:rsid w:val="007735E5"/>
    <w:rsid w:val="00773694"/>
    <w:rsid w:val="00773CFA"/>
    <w:rsid w:val="00773EAF"/>
    <w:rsid w:val="00773ED4"/>
    <w:rsid w:val="007744BD"/>
    <w:rsid w:val="00776371"/>
    <w:rsid w:val="0077722F"/>
    <w:rsid w:val="0078010B"/>
    <w:rsid w:val="0078021C"/>
    <w:rsid w:val="007825ED"/>
    <w:rsid w:val="00782D22"/>
    <w:rsid w:val="007837A3"/>
    <w:rsid w:val="007837D0"/>
    <w:rsid w:val="00784933"/>
    <w:rsid w:val="00784C75"/>
    <w:rsid w:val="00785482"/>
    <w:rsid w:val="007858A3"/>
    <w:rsid w:val="00785DA3"/>
    <w:rsid w:val="0078647A"/>
    <w:rsid w:val="007902EB"/>
    <w:rsid w:val="007902ED"/>
    <w:rsid w:val="007908C7"/>
    <w:rsid w:val="00790CC5"/>
    <w:rsid w:val="007911D9"/>
    <w:rsid w:val="0079254D"/>
    <w:rsid w:val="00792742"/>
    <w:rsid w:val="00793CA4"/>
    <w:rsid w:val="00793CB9"/>
    <w:rsid w:val="0079454B"/>
    <w:rsid w:val="00794BC0"/>
    <w:rsid w:val="00794C08"/>
    <w:rsid w:val="00794F52"/>
    <w:rsid w:val="0079503C"/>
    <w:rsid w:val="007953A8"/>
    <w:rsid w:val="0079664F"/>
    <w:rsid w:val="00797973"/>
    <w:rsid w:val="00797BCA"/>
    <w:rsid w:val="00797E46"/>
    <w:rsid w:val="007A0205"/>
    <w:rsid w:val="007A0D8B"/>
    <w:rsid w:val="007A134C"/>
    <w:rsid w:val="007A1A61"/>
    <w:rsid w:val="007A2513"/>
    <w:rsid w:val="007A28E6"/>
    <w:rsid w:val="007A58CB"/>
    <w:rsid w:val="007A59FA"/>
    <w:rsid w:val="007A5FCF"/>
    <w:rsid w:val="007A7EA9"/>
    <w:rsid w:val="007B23B9"/>
    <w:rsid w:val="007B26AD"/>
    <w:rsid w:val="007B3780"/>
    <w:rsid w:val="007B412F"/>
    <w:rsid w:val="007B4A33"/>
    <w:rsid w:val="007B4D59"/>
    <w:rsid w:val="007B5440"/>
    <w:rsid w:val="007B5611"/>
    <w:rsid w:val="007B614A"/>
    <w:rsid w:val="007B6339"/>
    <w:rsid w:val="007B63DC"/>
    <w:rsid w:val="007B7300"/>
    <w:rsid w:val="007B7972"/>
    <w:rsid w:val="007B7D47"/>
    <w:rsid w:val="007C0909"/>
    <w:rsid w:val="007C0A75"/>
    <w:rsid w:val="007C1011"/>
    <w:rsid w:val="007C284B"/>
    <w:rsid w:val="007C45C7"/>
    <w:rsid w:val="007C4915"/>
    <w:rsid w:val="007C4D05"/>
    <w:rsid w:val="007C4D6B"/>
    <w:rsid w:val="007C4F5F"/>
    <w:rsid w:val="007C556C"/>
    <w:rsid w:val="007C57D8"/>
    <w:rsid w:val="007C5A5D"/>
    <w:rsid w:val="007C5AE6"/>
    <w:rsid w:val="007C5E2B"/>
    <w:rsid w:val="007C6809"/>
    <w:rsid w:val="007C6902"/>
    <w:rsid w:val="007C71EF"/>
    <w:rsid w:val="007C7251"/>
    <w:rsid w:val="007C7B86"/>
    <w:rsid w:val="007D2099"/>
    <w:rsid w:val="007D22E3"/>
    <w:rsid w:val="007D3265"/>
    <w:rsid w:val="007D3853"/>
    <w:rsid w:val="007D39CF"/>
    <w:rsid w:val="007D4382"/>
    <w:rsid w:val="007D4645"/>
    <w:rsid w:val="007D71F1"/>
    <w:rsid w:val="007D7F24"/>
    <w:rsid w:val="007E0369"/>
    <w:rsid w:val="007E054C"/>
    <w:rsid w:val="007E0F01"/>
    <w:rsid w:val="007E1836"/>
    <w:rsid w:val="007E1DF6"/>
    <w:rsid w:val="007E20F9"/>
    <w:rsid w:val="007E32D6"/>
    <w:rsid w:val="007E43CC"/>
    <w:rsid w:val="007E465E"/>
    <w:rsid w:val="007E4C73"/>
    <w:rsid w:val="007E65F9"/>
    <w:rsid w:val="007E6D75"/>
    <w:rsid w:val="007F10B7"/>
    <w:rsid w:val="007F1A15"/>
    <w:rsid w:val="007F394C"/>
    <w:rsid w:val="007F422B"/>
    <w:rsid w:val="007F477C"/>
    <w:rsid w:val="007F482E"/>
    <w:rsid w:val="007F4E5A"/>
    <w:rsid w:val="007F4F04"/>
    <w:rsid w:val="007F5B39"/>
    <w:rsid w:val="007F5D64"/>
    <w:rsid w:val="007F73D0"/>
    <w:rsid w:val="007F7E92"/>
    <w:rsid w:val="007F7FCA"/>
    <w:rsid w:val="008011BC"/>
    <w:rsid w:val="0080162D"/>
    <w:rsid w:val="00801693"/>
    <w:rsid w:val="008030DE"/>
    <w:rsid w:val="008031A8"/>
    <w:rsid w:val="00803B71"/>
    <w:rsid w:val="00803CA5"/>
    <w:rsid w:val="00803CB7"/>
    <w:rsid w:val="00804D0F"/>
    <w:rsid w:val="00805311"/>
    <w:rsid w:val="00805730"/>
    <w:rsid w:val="00805CFE"/>
    <w:rsid w:val="00807171"/>
    <w:rsid w:val="00807A88"/>
    <w:rsid w:val="00807B5C"/>
    <w:rsid w:val="00810299"/>
    <w:rsid w:val="00810CC2"/>
    <w:rsid w:val="00810E2C"/>
    <w:rsid w:val="008117B7"/>
    <w:rsid w:val="00811D0A"/>
    <w:rsid w:val="008127AF"/>
    <w:rsid w:val="0081355E"/>
    <w:rsid w:val="00813B00"/>
    <w:rsid w:val="008148D1"/>
    <w:rsid w:val="008162A2"/>
    <w:rsid w:val="00816386"/>
    <w:rsid w:val="00817108"/>
    <w:rsid w:val="00817BA4"/>
    <w:rsid w:val="00817C28"/>
    <w:rsid w:val="00823F38"/>
    <w:rsid w:val="00823FC4"/>
    <w:rsid w:val="00824DFC"/>
    <w:rsid w:val="00825132"/>
    <w:rsid w:val="00825558"/>
    <w:rsid w:val="00825851"/>
    <w:rsid w:val="00826724"/>
    <w:rsid w:val="008267EF"/>
    <w:rsid w:val="00826869"/>
    <w:rsid w:val="00827025"/>
    <w:rsid w:val="00827651"/>
    <w:rsid w:val="00830523"/>
    <w:rsid w:val="00831E79"/>
    <w:rsid w:val="008321BD"/>
    <w:rsid w:val="00832950"/>
    <w:rsid w:val="00832E7D"/>
    <w:rsid w:val="00832E88"/>
    <w:rsid w:val="008341CD"/>
    <w:rsid w:val="0083522B"/>
    <w:rsid w:val="008353E4"/>
    <w:rsid w:val="008356F4"/>
    <w:rsid w:val="00840269"/>
    <w:rsid w:val="00840BA1"/>
    <w:rsid w:val="00840F89"/>
    <w:rsid w:val="008416E2"/>
    <w:rsid w:val="00841F3D"/>
    <w:rsid w:val="008420B4"/>
    <w:rsid w:val="0084211B"/>
    <w:rsid w:val="00842364"/>
    <w:rsid w:val="00842746"/>
    <w:rsid w:val="00842BC6"/>
    <w:rsid w:val="008432B7"/>
    <w:rsid w:val="00844D84"/>
    <w:rsid w:val="00845255"/>
    <w:rsid w:val="0084535C"/>
    <w:rsid w:val="008466BD"/>
    <w:rsid w:val="008470B8"/>
    <w:rsid w:val="00847672"/>
    <w:rsid w:val="00850379"/>
    <w:rsid w:val="008514FC"/>
    <w:rsid w:val="008515DC"/>
    <w:rsid w:val="00852758"/>
    <w:rsid w:val="0085276D"/>
    <w:rsid w:val="00852BBB"/>
    <w:rsid w:val="00853469"/>
    <w:rsid w:val="0085395D"/>
    <w:rsid w:val="00853A6D"/>
    <w:rsid w:val="00853EEB"/>
    <w:rsid w:val="008550C1"/>
    <w:rsid w:val="008552DE"/>
    <w:rsid w:val="0085575A"/>
    <w:rsid w:val="00856C32"/>
    <w:rsid w:val="00857CB8"/>
    <w:rsid w:val="00861552"/>
    <w:rsid w:val="00861B95"/>
    <w:rsid w:val="00861F2A"/>
    <w:rsid w:val="008627E3"/>
    <w:rsid w:val="00863D58"/>
    <w:rsid w:val="00863E56"/>
    <w:rsid w:val="00864F5A"/>
    <w:rsid w:val="00866205"/>
    <w:rsid w:val="00866ABE"/>
    <w:rsid w:val="00866D8B"/>
    <w:rsid w:val="00867C49"/>
    <w:rsid w:val="00870067"/>
    <w:rsid w:val="008702FB"/>
    <w:rsid w:val="008703C6"/>
    <w:rsid w:val="008724AB"/>
    <w:rsid w:val="0087276F"/>
    <w:rsid w:val="00872905"/>
    <w:rsid w:val="008733AD"/>
    <w:rsid w:val="008733B9"/>
    <w:rsid w:val="00873D37"/>
    <w:rsid w:val="008748AF"/>
    <w:rsid w:val="00874952"/>
    <w:rsid w:val="00874E47"/>
    <w:rsid w:val="00874FF1"/>
    <w:rsid w:val="00875292"/>
    <w:rsid w:val="008758DF"/>
    <w:rsid w:val="00875F53"/>
    <w:rsid w:val="00876645"/>
    <w:rsid w:val="00876739"/>
    <w:rsid w:val="00876937"/>
    <w:rsid w:val="00876F53"/>
    <w:rsid w:val="00876F98"/>
    <w:rsid w:val="0088067F"/>
    <w:rsid w:val="00881A78"/>
    <w:rsid w:val="008831EA"/>
    <w:rsid w:val="00883A64"/>
    <w:rsid w:val="00885A45"/>
    <w:rsid w:val="00886E1B"/>
    <w:rsid w:val="00886FEE"/>
    <w:rsid w:val="00887082"/>
    <w:rsid w:val="00887478"/>
    <w:rsid w:val="00887581"/>
    <w:rsid w:val="00890BDE"/>
    <w:rsid w:val="008921A2"/>
    <w:rsid w:val="0089223B"/>
    <w:rsid w:val="00892A84"/>
    <w:rsid w:val="00892AB1"/>
    <w:rsid w:val="00893414"/>
    <w:rsid w:val="008942BE"/>
    <w:rsid w:val="00894723"/>
    <w:rsid w:val="00894E4B"/>
    <w:rsid w:val="00895D17"/>
    <w:rsid w:val="0089710E"/>
    <w:rsid w:val="00897B34"/>
    <w:rsid w:val="008A05AB"/>
    <w:rsid w:val="008A09CC"/>
    <w:rsid w:val="008A22C6"/>
    <w:rsid w:val="008A4B79"/>
    <w:rsid w:val="008A5E21"/>
    <w:rsid w:val="008A5FE0"/>
    <w:rsid w:val="008A668E"/>
    <w:rsid w:val="008A6A2F"/>
    <w:rsid w:val="008A75B9"/>
    <w:rsid w:val="008B06DF"/>
    <w:rsid w:val="008B0AF9"/>
    <w:rsid w:val="008B0EE4"/>
    <w:rsid w:val="008B1D87"/>
    <w:rsid w:val="008B2107"/>
    <w:rsid w:val="008B25AB"/>
    <w:rsid w:val="008B2692"/>
    <w:rsid w:val="008B3440"/>
    <w:rsid w:val="008B40C1"/>
    <w:rsid w:val="008B4C3F"/>
    <w:rsid w:val="008B54BC"/>
    <w:rsid w:val="008B5BD3"/>
    <w:rsid w:val="008B642D"/>
    <w:rsid w:val="008B7588"/>
    <w:rsid w:val="008B7A88"/>
    <w:rsid w:val="008C08DA"/>
    <w:rsid w:val="008C0A60"/>
    <w:rsid w:val="008C180C"/>
    <w:rsid w:val="008C256D"/>
    <w:rsid w:val="008C264C"/>
    <w:rsid w:val="008C2B99"/>
    <w:rsid w:val="008C387E"/>
    <w:rsid w:val="008C3E90"/>
    <w:rsid w:val="008C3EFA"/>
    <w:rsid w:val="008C40FC"/>
    <w:rsid w:val="008C420A"/>
    <w:rsid w:val="008C4D11"/>
    <w:rsid w:val="008C5671"/>
    <w:rsid w:val="008C5A01"/>
    <w:rsid w:val="008C5CCD"/>
    <w:rsid w:val="008C6373"/>
    <w:rsid w:val="008C6B1F"/>
    <w:rsid w:val="008C6F8C"/>
    <w:rsid w:val="008C74A7"/>
    <w:rsid w:val="008C7FBB"/>
    <w:rsid w:val="008D0412"/>
    <w:rsid w:val="008D1967"/>
    <w:rsid w:val="008D20E5"/>
    <w:rsid w:val="008D224E"/>
    <w:rsid w:val="008D309C"/>
    <w:rsid w:val="008D3E70"/>
    <w:rsid w:val="008D43E1"/>
    <w:rsid w:val="008D60BA"/>
    <w:rsid w:val="008D63F7"/>
    <w:rsid w:val="008D740C"/>
    <w:rsid w:val="008D788D"/>
    <w:rsid w:val="008E14C2"/>
    <w:rsid w:val="008E1769"/>
    <w:rsid w:val="008E263B"/>
    <w:rsid w:val="008E2A06"/>
    <w:rsid w:val="008E2D10"/>
    <w:rsid w:val="008E4C8A"/>
    <w:rsid w:val="008E4C9E"/>
    <w:rsid w:val="008E5326"/>
    <w:rsid w:val="008E5E8B"/>
    <w:rsid w:val="008E6E09"/>
    <w:rsid w:val="008E7153"/>
    <w:rsid w:val="008E77F5"/>
    <w:rsid w:val="008E7E04"/>
    <w:rsid w:val="008E7F7C"/>
    <w:rsid w:val="008F001A"/>
    <w:rsid w:val="008F03BD"/>
    <w:rsid w:val="008F0D03"/>
    <w:rsid w:val="008F10B2"/>
    <w:rsid w:val="008F1929"/>
    <w:rsid w:val="008F1E0D"/>
    <w:rsid w:val="008F26CF"/>
    <w:rsid w:val="008F2A66"/>
    <w:rsid w:val="008F38C3"/>
    <w:rsid w:val="008F3F34"/>
    <w:rsid w:val="008F439E"/>
    <w:rsid w:val="008F60E7"/>
    <w:rsid w:val="008F6CE8"/>
    <w:rsid w:val="008F6E3B"/>
    <w:rsid w:val="008F6F7E"/>
    <w:rsid w:val="008F7307"/>
    <w:rsid w:val="009010BD"/>
    <w:rsid w:val="0090126E"/>
    <w:rsid w:val="00902D4D"/>
    <w:rsid w:val="00902D84"/>
    <w:rsid w:val="00902E1A"/>
    <w:rsid w:val="0090321A"/>
    <w:rsid w:val="00903DB5"/>
    <w:rsid w:val="00903DBC"/>
    <w:rsid w:val="00904359"/>
    <w:rsid w:val="009055B2"/>
    <w:rsid w:val="009058AC"/>
    <w:rsid w:val="00905E22"/>
    <w:rsid w:val="00905F61"/>
    <w:rsid w:val="009060E3"/>
    <w:rsid w:val="00906C41"/>
    <w:rsid w:val="009074D9"/>
    <w:rsid w:val="00907CA8"/>
    <w:rsid w:val="00910AC7"/>
    <w:rsid w:val="009119E5"/>
    <w:rsid w:val="009123B1"/>
    <w:rsid w:val="009129AE"/>
    <w:rsid w:val="00914168"/>
    <w:rsid w:val="0091432E"/>
    <w:rsid w:val="00914E0C"/>
    <w:rsid w:val="009163C6"/>
    <w:rsid w:val="0091640C"/>
    <w:rsid w:val="00916812"/>
    <w:rsid w:val="00916C8E"/>
    <w:rsid w:val="00917C74"/>
    <w:rsid w:val="0092044D"/>
    <w:rsid w:val="00920486"/>
    <w:rsid w:val="009219FE"/>
    <w:rsid w:val="009220DB"/>
    <w:rsid w:val="0092297E"/>
    <w:rsid w:val="0092319E"/>
    <w:rsid w:val="00923842"/>
    <w:rsid w:val="00923F70"/>
    <w:rsid w:val="0092439F"/>
    <w:rsid w:val="00924DE1"/>
    <w:rsid w:val="0092696B"/>
    <w:rsid w:val="00926E75"/>
    <w:rsid w:val="00930286"/>
    <w:rsid w:val="00930AB1"/>
    <w:rsid w:val="00930F09"/>
    <w:rsid w:val="00931030"/>
    <w:rsid w:val="00932B23"/>
    <w:rsid w:val="00932D31"/>
    <w:rsid w:val="00934010"/>
    <w:rsid w:val="00934279"/>
    <w:rsid w:val="0093483B"/>
    <w:rsid w:val="00934D0E"/>
    <w:rsid w:val="00934E37"/>
    <w:rsid w:val="00934E95"/>
    <w:rsid w:val="00935D53"/>
    <w:rsid w:val="009368D4"/>
    <w:rsid w:val="0093723E"/>
    <w:rsid w:val="00937D5C"/>
    <w:rsid w:val="00941D89"/>
    <w:rsid w:val="00943462"/>
    <w:rsid w:val="009439AE"/>
    <w:rsid w:val="0094418A"/>
    <w:rsid w:val="009447F3"/>
    <w:rsid w:val="009448EE"/>
    <w:rsid w:val="009449D3"/>
    <w:rsid w:val="00945576"/>
    <w:rsid w:val="00945A27"/>
    <w:rsid w:val="0094609F"/>
    <w:rsid w:val="00946293"/>
    <w:rsid w:val="0094734C"/>
    <w:rsid w:val="0094796A"/>
    <w:rsid w:val="00947B35"/>
    <w:rsid w:val="009504D9"/>
    <w:rsid w:val="00950A87"/>
    <w:rsid w:val="0095105F"/>
    <w:rsid w:val="00952F30"/>
    <w:rsid w:val="0095453E"/>
    <w:rsid w:val="00954624"/>
    <w:rsid w:val="00955A06"/>
    <w:rsid w:val="00955E6D"/>
    <w:rsid w:val="009560AA"/>
    <w:rsid w:val="00956427"/>
    <w:rsid w:val="00956B8F"/>
    <w:rsid w:val="00957C17"/>
    <w:rsid w:val="00957DB1"/>
    <w:rsid w:val="0096145F"/>
    <w:rsid w:val="0096224E"/>
    <w:rsid w:val="00962A5D"/>
    <w:rsid w:val="0096301F"/>
    <w:rsid w:val="00963D1C"/>
    <w:rsid w:val="00963DC5"/>
    <w:rsid w:val="00963E46"/>
    <w:rsid w:val="00964A6C"/>
    <w:rsid w:val="00964E9A"/>
    <w:rsid w:val="00967385"/>
    <w:rsid w:val="00971F62"/>
    <w:rsid w:val="00972CF4"/>
    <w:rsid w:val="00973118"/>
    <w:rsid w:val="00973229"/>
    <w:rsid w:val="009738D1"/>
    <w:rsid w:val="0097458D"/>
    <w:rsid w:val="009745B1"/>
    <w:rsid w:val="00974B71"/>
    <w:rsid w:val="00974DCD"/>
    <w:rsid w:val="0097558E"/>
    <w:rsid w:val="00975A33"/>
    <w:rsid w:val="00975C88"/>
    <w:rsid w:val="009776B3"/>
    <w:rsid w:val="0097792A"/>
    <w:rsid w:val="009821CD"/>
    <w:rsid w:val="0098316C"/>
    <w:rsid w:val="009839CC"/>
    <w:rsid w:val="0098501F"/>
    <w:rsid w:val="009864EA"/>
    <w:rsid w:val="00986DEE"/>
    <w:rsid w:val="00987E77"/>
    <w:rsid w:val="00991AD2"/>
    <w:rsid w:val="00991FD7"/>
    <w:rsid w:val="00994106"/>
    <w:rsid w:val="009948B2"/>
    <w:rsid w:val="00994C3C"/>
    <w:rsid w:val="0099510F"/>
    <w:rsid w:val="00995A5E"/>
    <w:rsid w:val="00995F7A"/>
    <w:rsid w:val="009961A3"/>
    <w:rsid w:val="00997D0A"/>
    <w:rsid w:val="009A05A8"/>
    <w:rsid w:val="009A0A61"/>
    <w:rsid w:val="009A118A"/>
    <w:rsid w:val="009A220A"/>
    <w:rsid w:val="009A2445"/>
    <w:rsid w:val="009A4100"/>
    <w:rsid w:val="009A43FD"/>
    <w:rsid w:val="009A4B1F"/>
    <w:rsid w:val="009A4EC9"/>
    <w:rsid w:val="009A53C4"/>
    <w:rsid w:val="009A5EE0"/>
    <w:rsid w:val="009A5FE5"/>
    <w:rsid w:val="009A63CF"/>
    <w:rsid w:val="009A698B"/>
    <w:rsid w:val="009A71FC"/>
    <w:rsid w:val="009A7254"/>
    <w:rsid w:val="009A7478"/>
    <w:rsid w:val="009A7AD8"/>
    <w:rsid w:val="009A7E05"/>
    <w:rsid w:val="009B0235"/>
    <w:rsid w:val="009B06D3"/>
    <w:rsid w:val="009B1276"/>
    <w:rsid w:val="009B1718"/>
    <w:rsid w:val="009B2E4C"/>
    <w:rsid w:val="009B2E69"/>
    <w:rsid w:val="009B387B"/>
    <w:rsid w:val="009B614B"/>
    <w:rsid w:val="009B77BD"/>
    <w:rsid w:val="009B7B26"/>
    <w:rsid w:val="009C111D"/>
    <w:rsid w:val="009C15FC"/>
    <w:rsid w:val="009C1E2E"/>
    <w:rsid w:val="009C2A11"/>
    <w:rsid w:val="009C2D06"/>
    <w:rsid w:val="009C38D8"/>
    <w:rsid w:val="009C539A"/>
    <w:rsid w:val="009C56B6"/>
    <w:rsid w:val="009C60D2"/>
    <w:rsid w:val="009C6D92"/>
    <w:rsid w:val="009C71CA"/>
    <w:rsid w:val="009C7948"/>
    <w:rsid w:val="009C7EE4"/>
    <w:rsid w:val="009D0816"/>
    <w:rsid w:val="009D1755"/>
    <w:rsid w:val="009D26B4"/>
    <w:rsid w:val="009D27DA"/>
    <w:rsid w:val="009D2DD9"/>
    <w:rsid w:val="009D36D4"/>
    <w:rsid w:val="009D3C38"/>
    <w:rsid w:val="009D41A1"/>
    <w:rsid w:val="009E056A"/>
    <w:rsid w:val="009E0642"/>
    <w:rsid w:val="009E087D"/>
    <w:rsid w:val="009E0B01"/>
    <w:rsid w:val="009E1DD6"/>
    <w:rsid w:val="009E20D0"/>
    <w:rsid w:val="009E322F"/>
    <w:rsid w:val="009E33A1"/>
    <w:rsid w:val="009E4BCA"/>
    <w:rsid w:val="009E54F6"/>
    <w:rsid w:val="009E687F"/>
    <w:rsid w:val="009E6D19"/>
    <w:rsid w:val="009E7A23"/>
    <w:rsid w:val="009E7CEF"/>
    <w:rsid w:val="009F0486"/>
    <w:rsid w:val="009F04A5"/>
    <w:rsid w:val="009F086D"/>
    <w:rsid w:val="009F1DCE"/>
    <w:rsid w:val="009F2B02"/>
    <w:rsid w:val="009F36DF"/>
    <w:rsid w:val="009F424B"/>
    <w:rsid w:val="009F4ECA"/>
    <w:rsid w:val="009F52EA"/>
    <w:rsid w:val="009F5650"/>
    <w:rsid w:val="009F5F37"/>
    <w:rsid w:val="009F6F9E"/>
    <w:rsid w:val="009F7225"/>
    <w:rsid w:val="009F7869"/>
    <w:rsid w:val="009F7963"/>
    <w:rsid w:val="00A0003F"/>
    <w:rsid w:val="00A003FB"/>
    <w:rsid w:val="00A00618"/>
    <w:rsid w:val="00A01750"/>
    <w:rsid w:val="00A02FD9"/>
    <w:rsid w:val="00A03AAF"/>
    <w:rsid w:val="00A03F42"/>
    <w:rsid w:val="00A047D5"/>
    <w:rsid w:val="00A05017"/>
    <w:rsid w:val="00A05A73"/>
    <w:rsid w:val="00A066CB"/>
    <w:rsid w:val="00A06B8A"/>
    <w:rsid w:val="00A06C24"/>
    <w:rsid w:val="00A06F1F"/>
    <w:rsid w:val="00A10CCA"/>
    <w:rsid w:val="00A11580"/>
    <w:rsid w:val="00A12155"/>
    <w:rsid w:val="00A14363"/>
    <w:rsid w:val="00A14385"/>
    <w:rsid w:val="00A14410"/>
    <w:rsid w:val="00A153F3"/>
    <w:rsid w:val="00A15642"/>
    <w:rsid w:val="00A16ACB"/>
    <w:rsid w:val="00A16BC4"/>
    <w:rsid w:val="00A1723A"/>
    <w:rsid w:val="00A2007C"/>
    <w:rsid w:val="00A20B42"/>
    <w:rsid w:val="00A20E71"/>
    <w:rsid w:val="00A20EDF"/>
    <w:rsid w:val="00A21EBA"/>
    <w:rsid w:val="00A220CE"/>
    <w:rsid w:val="00A22333"/>
    <w:rsid w:val="00A23DC4"/>
    <w:rsid w:val="00A24113"/>
    <w:rsid w:val="00A24ADE"/>
    <w:rsid w:val="00A2601A"/>
    <w:rsid w:val="00A26D3B"/>
    <w:rsid w:val="00A26EAF"/>
    <w:rsid w:val="00A26F13"/>
    <w:rsid w:val="00A279E0"/>
    <w:rsid w:val="00A30DC8"/>
    <w:rsid w:val="00A31976"/>
    <w:rsid w:val="00A31DB2"/>
    <w:rsid w:val="00A3208D"/>
    <w:rsid w:val="00A32F79"/>
    <w:rsid w:val="00A330EB"/>
    <w:rsid w:val="00A334FA"/>
    <w:rsid w:val="00A33FD3"/>
    <w:rsid w:val="00A34CBC"/>
    <w:rsid w:val="00A35B4B"/>
    <w:rsid w:val="00A377D5"/>
    <w:rsid w:val="00A37F1A"/>
    <w:rsid w:val="00A40BC2"/>
    <w:rsid w:val="00A4279F"/>
    <w:rsid w:val="00A42C19"/>
    <w:rsid w:val="00A42FF5"/>
    <w:rsid w:val="00A436F8"/>
    <w:rsid w:val="00A44683"/>
    <w:rsid w:val="00A44978"/>
    <w:rsid w:val="00A44FFE"/>
    <w:rsid w:val="00A4501F"/>
    <w:rsid w:val="00A457A0"/>
    <w:rsid w:val="00A46363"/>
    <w:rsid w:val="00A471DB"/>
    <w:rsid w:val="00A475C5"/>
    <w:rsid w:val="00A511A3"/>
    <w:rsid w:val="00A51509"/>
    <w:rsid w:val="00A517FC"/>
    <w:rsid w:val="00A5291A"/>
    <w:rsid w:val="00A53A17"/>
    <w:rsid w:val="00A53B54"/>
    <w:rsid w:val="00A53BC7"/>
    <w:rsid w:val="00A54661"/>
    <w:rsid w:val="00A552BD"/>
    <w:rsid w:val="00A55DA0"/>
    <w:rsid w:val="00A5663C"/>
    <w:rsid w:val="00A5778E"/>
    <w:rsid w:val="00A601B7"/>
    <w:rsid w:val="00A60338"/>
    <w:rsid w:val="00A604FE"/>
    <w:rsid w:val="00A634EC"/>
    <w:rsid w:val="00A636AC"/>
    <w:rsid w:val="00A6409F"/>
    <w:rsid w:val="00A64358"/>
    <w:rsid w:val="00A646CD"/>
    <w:rsid w:val="00A65901"/>
    <w:rsid w:val="00A65A46"/>
    <w:rsid w:val="00A65C79"/>
    <w:rsid w:val="00A674B9"/>
    <w:rsid w:val="00A6773E"/>
    <w:rsid w:val="00A67E50"/>
    <w:rsid w:val="00A702EA"/>
    <w:rsid w:val="00A7036B"/>
    <w:rsid w:val="00A70C0D"/>
    <w:rsid w:val="00A70F45"/>
    <w:rsid w:val="00A710CD"/>
    <w:rsid w:val="00A73786"/>
    <w:rsid w:val="00A73E23"/>
    <w:rsid w:val="00A74686"/>
    <w:rsid w:val="00A750BF"/>
    <w:rsid w:val="00A75A51"/>
    <w:rsid w:val="00A76540"/>
    <w:rsid w:val="00A778C1"/>
    <w:rsid w:val="00A80E70"/>
    <w:rsid w:val="00A82540"/>
    <w:rsid w:val="00A82B84"/>
    <w:rsid w:val="00A82DE8"/>
    <w:rsid w:val="00A8332A"/>
    <w:rsid w:val="00A83970"/>
    <w:rsid w:val="00A840F8"/>
    <w:rsid w:val="00A861A4"/>
    <w:rsid w:val="00A905D6"/>
    <w:rsid w:val="00A914C3"/>
    <w:rsid w:val="00A91A0B"/>
    <w:rsid w:val="00A91E87"/>
    <w:rsid w:val="00A92B7B"/>
    <w:rsid w:val="00A9316F"/>
    <w:rsid w:val="00A95299"/>
    <w:rsid w:val="00A97E9F"/>
    <w:rsid w:val="00AA1943"/>
    <w:rsid w:val="00AA1BDF"/>
    <w:rsid w:val="00AA1EBE"/>
    <w:rsid w:val="00AA247B"/>
    <w:rsid w:val="00AA302F"/>
    <w:rsid w:val="00AA3321"/>
    <w:rsid w:val="00AA3B81"/>
    <w:rsid w:val="00AA4A3B"/>
    <w:rsid w:val="00AA4AF4"/>
    <w:rsid w:val="00AA4C4E"/>
    <w:rsid w:val="00AA6270"/>
    <w:rsid w:val="00AA64F6"/>
    <w:rsid w:val="00AA7BC4"/>
    <w:rsid w:val="00AB09F8"/>
    <w:rsid w:val="00AB0FC1"/>
    <w:rsid w:val="00AB172A"/>
    <w:rsid w:val="00AB19F1"/>
    <w:rsid w:val="00AB1B8E"/>
    <w:rsid w:val="00AB28AC"/>
    <w:rsid w:val="00AB28C2"/>
    <w:rsid w:val="00AB3468"/>
    <w:rsid w:val="00AB3915"/>
    <w:rsid w:val="00AB3C03"/>
    <w:rsid w:val="00AB3D8C"/>
    <w:rsid w:val="00AB4365"/>
    <w:rsid w:val="00AB547C"/>
    <w:rsid w:val="00AB5814"/>
    <w:rsid w:val="00AB657D"/>
    <w:rsid w:val="00AB6CBB"/>
    <w:rsid w:val="00AB7AB4"/>
    <w:rsid w:val="00AB7CF1"/>
    <w:rsid w:val="00AB7FBA"/>
    <w:rsid w:val="00AC03A6"/>
    <w:rsid w:val="00AC130A"/>
    <w:rsid w:val="00AC1365"/>
    <w:rsid w:val="00AC17DE"/>
    <w:rsid w:val="00AC1D9D"/>
    <w:rsid w:val="00AC1FA2"/>
    <w:rsid w:val="00AC219E"/>
    <w:rsid w:val="00AC23AC"/>
    <w:rsid w:val="00AC23E4"/>
    <w:rsid w:val="00AC26F9"/>
    <w:rsid w:val="00AC2D7C"/>
    <w:rsid w:val="00AC3276"/>
    <w:rsid w:val="00AC3C46"/>
    <w:rsid w:val="00AC3E14"/>
    <w:rsid w:val="00AC4598"/>
    <w:rsid w:val="00AC52DA"/>
    <w:rsid w:val="00AC5B74"/>
    <w:rsid w:val="00AC6046"/>
    <w:rsid w:val="00AC6629"/>
    <w:rsid w:val="00AC786A"/>
    <w:rsid w:val="00AD0395"/>
    <w:rsid w:val="00AD0B60"/>
    <w:rsid w:val="00AD13E5"/>
    <w:rsid w:val="00AD1582"/>
    <w:rsid w:val="00AD1B93"/>
    <w:rsid w:val="00AD2195"/>
    <w:rsid w:val="00AD2479"/>
    <w:rsid w:val="00AD3E33"/>
    <w:rsid w:val="00AD42C8"/>
    <w:rsid w:val="00AD44A7"/>
    <w:rsid w:val="00AD4BA0"/>
    <w:rsid w:val="00AD552E"/>
    <w:rsid w:val="00AD587E"/>
    <w:rsid w:val="00AD58DB"/>
    <w:rsid w:val="00AD5CF5"/>
    <w:rsid w:val="00AD5DEB"/>
    <w:rsid w:val="00AD68A6"/>
    <w:rsid w:val="00AD6C84"/>
    <w:rsid w:val="00AD77CF"/>
    <w:rsid w:val="00AD7816"/>
    <w:rsid w:val="00AE0475"/>
    <w:rsid w:val="00AE0BEC"/>
    <w:rsid w:val="00AE129F"/>
    <w:rsid w:val="00AE1DA6"/>
    <w:rsid w:val="00AE207A"/>
    <w:rsid w:val="00AE2342"/>
    <w:rsid w:val="00AE24E1"/>
    <w:rsid w:val="00AE3610"/>
    <w:rsid w:val="00AE37C1"/>
    <w:rsid w:val="00AE4007"/>
    <w:rsid w:val="00AE4E54"/>
    <w:rsid w:val="00AE56D0"/>
    <w:rsid w:val="00AE5C08"/>
    <w:rsid w:val="00AE6BBA"/>
    <w:rsid w:val="00AE70B5"/>
    <w:rsid w:val="00AE71B4"/>
    <w:rsid w:val="00AE72BB"/>
    <w:rsid w:val="00AE7575"/>
    <w:rsid w:val="00AF09DE"/>
    <w:rsid w:val="00AF17C8"/>
    <w:rsid w:val="00AF1D4D"/>
    <w:rsid w:val="00AF1E49"/>
    <w:rsid w:val="00AF2132"/>
    <w:rsid w:val="00AF2FB7"/>
    <w:rsid w:val="00AF311E"/>
    <w:rsid w:val="00AF3926"/>
    <w:rsid w:val="00AF5F13"/>
    <w:rsid w:val="00AF64D2"/>
    <w:rsid w:val="00AF650E"/>
    <w:rsid w:val="00AF6BAE"/>
    <w:rsid w:val="00AF74D5"/>
    <w:rsid w:val="00AF7701"/>
    <w:rsid w:val="00AF7A46"/>
    <w:rsid w:val="00B02B11"/>
    <w:rsid w:val="00B02D27"/>
    <w:rsid w:val="00B03072"/>
    <w:rsid w:val="00B03387"/>
    <w:rsid w:val="00B03E21"/>
    <w:rsid w:val="00B03F2F"/>
    <w:rsid w:val="00B05678"/>
    <w:rsid w:val="00B05712"/>
    <w:rsid w:val="00B061DB"/>
    <w:rsid w:val="00B06907"/>
    <w:rsid w:val="00B069F3"/>
    <w:rsid w:val="00B075AA"/>
    <w:rsid w:val="00B077BE"/>
    <w:rsid w:val="00B101B8"/>
    <w:rsid w:val="00B11584"/>
    <w:rsid w:val="00B11EF3"/>
    <w:rsid w:val="00B12156"/>
    <w:rsid w:val="00B13042"/>
    <w:rsid w:val="00B1581E"/>
    <w:rsid w:val="00B15CA9"/>
    <w:rsid w:val="00B16693"/>
    <w:rsid w:val="00B16A03"/>
    <w:rsid w:val="00B16D4D"/>
    <w:rsid w:val="00B17D14"/>
    <w:rsid w:val="00B205EE"/>
    <w:rsid w:val="00B20F3B"/>
    <w:rsid w:val="00B21A5E"/>
    <w:rsid w:val="00B2348D"/>
    <w:rsid w:val="00B23BCF"/>
    <w:rsid w:val="00B23DA7"/>
    <w:rsid w:val="00B2437D"/>
    <w:rsid w:val="00B24C28"/>
    <w:rsid w:val="00B24D8A"/>
    <w:rsid w:val="00B2511E"/>
    <w:rsid w:val="00B25917"/>
    <w:rsid w:val="00B25BA4"/>
    <w:rsid w:val="00B26259"/>
    <w:rsid w:val="00B26BA2"/>
    <w:rsid w:val="00B26F3C"/>
    <w:rsid w:val="00B27257"/>
    <w:rsid w:val="00B3016A"/>
    <w:rsid w:val="00B30846"/>
    <w:rsid w:val="00B30D8C"/>
    <w:rsid w:val="00B3146E"/>
    <w:rsid w:val="00B3192F"/>
    <w:rsid w:val="00B31EC9"/>
    <w:rsid w:val="00B3232D"/>
    <w:rsid w:val="00B327E9"/>
    <w:rsid w:val="00B329AD"/>
    <w:rsid w:val="00B33022"/>
    <w:rsid w:val="00B334EA"/>
    <w:rsid w:val="00B343AC"/>
    <w:rsid w:val="00B35F0D"/>
    <w:rsid w:val="00B36156"/>
    <w:rsid w:val="00B36705"/>
    <w:rsid w:val="00B36D1F"/>
    <w:rsid w:val="00B37407"/>
    <w:rsid w:val="00B376AB"/>
    <w:rsid w:val="00B408F0"/>
    <w:rsid w:val="00B416A7"/>
    <w:rsid w:val="00B41B3F"/>
    <w:rsid w:val="00B41DC7"/>
    <w:rsid w:val="00B42249"/>
    <w:rsid w:val="00B42E4C"/>
    <w:rsid w:val="00B431A9"/>
    <w:rsid w:val="00B44008"/>
    <w:rsid w:val="00B449AF"/>
    <w:rsid w:val="00B4517C"/>
    <w:rsid w:val="00B45516"/>
    <w:rsid w:val="00B46A48"/>
    <w:rsid w:val="00B47D91"/>
    <w:rsid w:val="00B51D3F"/>
    <w:rsid w:val="00B51F51"/>
    <w:rsid w:val="00B52158"/>
    <w:rsid w:val="00B5279D"/>
    <w:rsid w:val="00B529A5"/>
    <w:rsid w:val="00B53D50"/>
    <w:rsid w:val="00B54BA8"/>
    <w:rsid w:val="00B54E05"/>
    <w:rsid w:val="00B54F54"/>
    <w:rsid w:val="00B55C82"/>
    <w:rsid w:val="00B57970"/>
    <w:rsid w:val="00B579A2"/>
    <w:rsid w:val="00B57C20"/>
    <w:rsid w:val="00B57F0C"/>
    <w:rsid w:val="00B6212A"/>
    <w:rsid w:val="00B62B6D"/>
    <w:rsid w:val="00B62BE9"/>
    <w:rsid w:val="00B63A64"/>
    <w:rsid w:val="00B63C79"/>
    <w:rsid w:val="00B644A6"/>
    <w:rsid w:val="00B6464A"/>
    <w:rsid w:val="00B6568A"/>
    <w:rsid w:val="00B664C8"/>
    <w:rsid w:val="00B667E1"/>
    <w:rsid w:val="00B66C40"/>
    <w:rsid w:val="00B67091"/>
    <w:rsid w:val="00B670A6"/>
    <w:rsid w:val="00B6750E"/>
    <w:rsid w:val="00B6786D"/>
    <w:rsid w:val="00B70057"/>
    <w:rsid w:val="00B7044E"/>
    <w:rsid w:val="00B70F06"/>
    <w:rsid w:val="00B71670"/>
    <w:rsid w:val="00B73C18"/>
    <w:rsid w:val="00B73DCF"/>
    <w:rsid w:val="00B75435"/>
    <w:rsid w:val="00B76442"/>
    <w:rsid w:val="00B767B3"/>
    <w:rsid w:val="00B77B00"/>
    <w:rsid w:val="00B8012E"/>
    <w:rsid w:val="00B806E8"/>
    <w:rsid w:val="00B80F06"/>
    <w:rsid w:val="00B816ED"/>
    <w:rsid w:val="00B82455"/>
    <w:rsid w:val="00B837F5"/>
    <w:rsid w:val="00B85AF1"/>
    <w:rsid w:val="00B863A7"/>
    <w:rsid w:val="00B866B5"/>
    <w:rsid w:val="00B86865"/>
    <w:rsid w:val="00B8710B"/>
    <w:rsid w:val="00B8745F"/>
    <w:rsid w:val="00B90425"/>
    <w:rsid w:val="00B92357"/>
    <w:rsid w:val="00B9353D"/>
    <w:rsid w:val="00B9455C"/>
    <w:rsid w:val="00B94BE2"/>
    <w:rsid w:val="00B958BD"/>
    <w:rsid w:val="00B95E25"/>
    <w:rsid w:val="00B95F48"/>
    <w:rsid w:val="00B9647D"/>
    <w:rsid w:val="00B964B2"/>
    <w:rsid w:val="00B96F88"/>
    <w:rsid w:val="00B9750E"/>
    <w:rsid w:val="00BA03CE"/>
    <w:rsid w:val="00BA0611"/>
    <w:rsid w:val="00BA0739"/>
    <w:rsid w:val="00BA143D"/>
    <w:rsid w:val="00BA1A11"/>
    <w:rsid w:val="00BA2E5A"/>
    <w:rsid w:val="00BA4538"/>
    <w:rsid w:val="00BA62E6"/>
    <w:rsid w:val="00BB1D3F"/>
    <w:rsid w:val="00BB245E"/>
    <w:rsid w:val="00BB253E"/>
    <w:rsid w:val="00BB2731"/>
    <w:rsid w:val="00BB2CE8"/>
    <w:rsid w:val="00BB301F"/>
    <w:rsid w:val="00BB340B"/>
    <w:rsid w:val="00BB466A"/>
    <w:rsid w:val="00BB542A"/>
    <w:rsid w:val="00BB55DC"/>
    <w:rsid w:val="00BB598A"/>
    <w:rsid w:val="00BB5B37"/>
    <w:rsid w:val="00BB5D27"/>
    <w:rsid w:val="00BB6007"/>
    <w:rsid w:val="00BB611A"/>
    <w:rsid w:val="00BB6D12"/>
    <w:rsid w:val="00BC0614"/>
    <w:rsid w:val="00BC0A33"/>
    <w:rsid w:val="00BC2E26"/>
    <w:rsid w:val="00BC348E"/>
    <w:rsid w:val="00BC391C"/>
    <w:rsid w:val="00BC3A4C"/>
    <w:rsid w:val="00BC4034"/>
    <w:rsid w:val="00BC4EE0"/>
    <w:rsid w:val="00BC5657"/>
    <w:rsid w:val="00BC56D7"/>
    <w:rsid w:val="00BC6DB5"/>
    <w:rsid w:val="00BC7AFC"/>
    <w:rsid w:val="00BD02DF"/>
    <w:rsid w:val="00BD08C3"/>
    <w:rsid w:val="00BD08CB"/>
    <w:rsid w:val="00BD0C30"/>
    <w:rsid w:val="00BD1EE2"/>
    <w:rsid w:val="00BD2602"/>
    <w:rsid w:val="00BD291B"/>
    <w:rsid w:val="00BD2C7B"/>
    <w:rsid w:val="00BD3EDC"/>
    <w:rsid w:val="00BD5048"/>
    <w:rsid w:val="00BD53C0"/>
    <w:rsid w:val="00BD682D"/>
    <w:rsid w:val="00BE1B88"/>
    <w:rsid w:val="00BE2217"/>
    <w:rsid w:val="00BE22B3"/>
    <w:rsid w:val="00BE258A"/>
    <w:rsid w:val="00BE2A28"/>
    <w:rsid w:val="00BE3B66"/>
    <w:rsid w:val="00BE420D"/>
    <w:rsid w:val="00BE4233"/>
    <w:rsid w:val="00BE4BB1"/>
    <w:rsid w:val="00BE5340"/>
    <w:rsid w:val="00BE71F5"/>
    <w:rsid w:val="00BE72C3"/>
    <w:rsid w:val="00BE7D87"/>
    <w:rsid w:val="00BF03E7"/>
    <w:rsid w:val="00BF0ACD"/>
    <w:rsid w:val="00BF0B97"/>
    <w:rsid w:val="00BF1335"/>
    <w:rsid w:val="00BF17DB"/>
    <w:rsid w:val="00BF1B9E"/>
    <w:rsid w:val="00BF3093"/>
    <w:rsid w:val="00BF7370"/>
    <w:rsid w:val="00BF7687"/>
    <w:rsid w:val="00BF7B93"/>
    <w:rsid w:val="00C01747"/>
    <w:rsid w:val="00C02665"/>
    <w:rsid w:val="00C028BF"/>
    <w:rsid w:val="00C029C8"/>
    <w:rsid w:val="00C03D48"/>
    <w:rsid w:val="00C03DF5"/>
    <w:rsid w:val="00C051AC"/>
    <w:rsid w:val="00C05770"/>
    <w:rsid w:val="00C05933"/>
    <w:rsid w:val="00C0629D"/>
    <w:rsid w:val="00C06549"/>
    <w:rsid w:val="00C07B52"/>
    <w:rsid w:val="00C101C5"/>
    <w:rsid w:val="00C1071A"/>
    <w:rsid w:val="00C11339"/>
    <w:rsid w:val="00C13C2F"/>
    <w:rsid w:val="00C145F4"/>
    <w:rsid w:val="00C15DC4"/>
    <w:rsid w:val="00C1679E"/>
    <w:rsid w:val="00C20391"/>
    <w:rsid w:val="00C203D0"/>
    <w:rsid w:val="00C20C56"/>
    <w:rsid w:val="00C20F4E"/>
    <w:rsid w:val="00C20FFC"/>
    <w:rsid w:val="00C21487"/>
    <w:rsid w:val="00C21E48"/>
    <w:rsid w:val="00C2257C"/>
    <w:rsid w:val="00C2298E"/>
    <w:rsid w:val="00C23115"/>
    <w:rsid w:val="00C236B5"/>
    <w:rsid w:val="00C24783"/>
    <w:rsid w:val="00C2490B"/>
    <w:rsid w:val="00C24D03"/>
    <w:rsid w:val="00C24DC0"/>
    <w:rsid w:val="00C25161"/>
    <w:rsid w:val="00C25658"/>
    <w:rsid w:val="00C25A1C"/>
    <w:rsid w:val="00C277A9"/>
    <w:rsid w:val="00C31405"/>
    <w:rsid w:val="00C32098"/>
    <w:rsid w:val="00C322DF"/>
    <w:rsid w:val="00C3293E"/>
    <w:rsid w:val="00C33493"/>
    <w:rsid w:val="00C34189"/>
    <w:rsid w:val="00C34E06"/>
    <w:rsid w:val="00C350C4"/>
    <w:rsid w:val="00C35A6F"/>
    <w:rsid w:val="00C367A7"/>
    <w:rsid w:val="00C368FF"/>
    <w:rsid w:val="00C3693C"/>
    <w:rsid w:val="00C376B2"/>
    <w:rsid w:val="00C40EDA"/>
    <w:rsid w:val="00C42C2B"/>
    <w:rsid w:val="00C43405"/>
    <w:rsid w:val="00C439D4"/>
    <w:rsid w:val="00C45B65"/>
    <w:rsid w:val="00C4672A"/>
    <w:rsid w:val="00C467D8"/>
    <w:rsid w:val="00C46BC3"/>
    <w:rsid w:val="00C477B1"/>
    <w:rsid w:val="00C47858"/>
    <w:rsid w:val="00C47F9C"/>
    <w:rsid w:val="00C51985"/>
    <w:rsid w:val="00C52365"/>
    <w:rsid w:val="00C52AAC"/>
    <w:rsid w:val="00C52C3A"/>
    <w:rsid w:val="00C52C7F"/>
    <w:rsid w:val="00C52F25"/>
    <w:rsid w:val="00C53363"/>
    <w:rsid w:val="00C5340A"/>
    <w:rsid w:val="00C5375E"/>
    <w:rsid w:val="00C54269"/>
    <w:rsid w:val="00C546C6"/>
    <w:rsid w:val="00C54EBD"/>
    <w:rsid w:val="00C5555B"/>
    <w:rsid w:val="00C56A40"/>
    <w:rsid w:val="00C570D2"/>
    <w:rsid w:val="00C60FC1"/>
    <w:rsid w:val="00C610E1"/>
    <w:rsid w:val="00C610E3"/>
    <w:rsid w:val="00C61683"/>
    <w:rsid w:val="00C61CD8"/>
    <w:rsid w:val="00C62A30"/>
    <w:rsid w:val="00C64CCE"/>
    <w:rsid w:val="00C662EB"/>
    <w:rsid w:val="00C66ED6"/>
    <w:rsid w:val="00C671ED"/>
    <w:rsid w:val="00C67367"/>
    <w:rsid w:val="00C67DE2"/>
    <w:rsid w:val="00C700C5"/>
    <w:rsid w:val="00C702DA"/>
    <w:rsid w:val="00C7361C"/>
    <w:rsid w:val="00C7363A"/>
    <w:rsid w:val="00C74DDA"/>
    <w:rsid w:val="00C74F35"/>
    <w:rsid w:val="00C75672"/>
    <w:rsid w:val="00C76316"/>
    <w:rsid w:val="00C77E9B"/>
    <w:rsid w:val="00C77EDF"/>
    <w:rsid w:val="00C809FD"/>
    <w:rsid w:val="00C80C38"/>
    <w:rsid w:val="00C80F53"/>
    <w:rsid w:val="00C81447"/>
    <w:rsid w:val="00C826D5"/>
    <w:rsid w:val="00C83672"/>
    <w:rsid w:val="00C84057"/>
    <w:rsid w:val="00C844FC"/>
    <w:rsid w:val="00C84E67"/>
    <w:rsid w:val="00C85354"/>
    <w:rsid w:val="00C85608"/>
    <w:rsid w:val="00C85EFA"/>
    <w:rsid w:val="00C86B1C"/>
    <w:rsid w:val="00C86B55"/>
    <w:rsid w:val="00C86F84"/>
    <w:rsid w:val="00C872DD"/>
    <w:rsid w:val="00C873F1"/>
    <w:rsid w:val="00C90247"/>
    <w:rsid w:val="00C90EE6"/>
    <w:rsid w:val="00C91338"/>
    <w:rsid w:val="00C914F7"/>
    <w:rsid w:val="00C91A41"/>
    <w:rsid w:val="00C92EF7"/>
    <w:rsid w:val="00C942C9"/>
    <w:rsid w:val="00C94C3B"/>
    <w:rsid w:val="00C96952"/>
    <w:rsid w:val="00C96A51"/>
    <w:rsid w:val="00C975C9"/>
    <w:rsid w:val="00CA00D1"/>
    <w:rsid w:val="00CA0254"/>
    <w:rsid w:val="00CA0EA2"/>
    <w:rsid w:val="00CA12FC"/>
    <w:rsid w:val="00CA1C99"/>
    <w:rsid w:val="00CA22A2"/>
    <w:rsid w:val="00CA22D9"/>
    <w:rsid w:val="00CA283F"/>
    <w:rsid w:val="00CA2B10"/>
    <w:rsid w:val="00CA2D8D"/>
    <w:rsid w:val="00CA3E6A"/>
    <w:rsid w:val="00CA4DBD"/>
    <w:rsid w:val="00CA50EB"/>
    <w:rsid w:val="00CA55D8"/>
    <w:rsid w:val="00CA5D86"/>
    <w:rsid w:val="00CB03FC"/>
    <w:rsid w:val="00CB1350"/>
    <w:rsid w:val="00CB2FDA"/>
    <w:rsid w:val="00CB3512"/>
    <w:rsid w:val="00CB3682"/>
    <w:rsid w:val="00CB3C5F"/>
    <w:rsid w:val="00CB4672"/>
    <w:rsid w:val="00CB5CE1"/>
    <w:rsid w:val="00CB5CE6"/>
    <w:rsid w:val="00CB665D"/>
    <w:rsid w:val="00CB7268"/>
    <w:rsid w:val="00CB79F8"/>
    <w:rsid w:val="00CB7B25"/>
    <w:rsid w:val="00CC18F3"/>
    <w:rsid w:val="00CC2145"/>
    <w:rsid w:val="00CC21FB"/>
    <w:rsid w:val="00CC44CB"/>
    <w:rsid w:val="00CC4740"/>
    <w:rsid w:val="00CC4C5B"/>
    <w:rsid w:val="00CC644A"/>
    <w:rsid w:val="00CC6612"/>
    <w:rsid w:val="00CC6B78"/>
    <w:rsid w:val="00CC6DF3"/>
    <w:rsid w:val="00CD02E4"/>
    <w:rsid w:val="00CD058C"/>
    <w:rsid w:val="00CD26F6"/>
    <w:rsid w:val="00CD2EFC"/>
    <w:rsid w:val="00CD33A4"/>
    <w:rsid w:val="00CD3723"/>
    <w:rsid w:val="00CD63D6"/>
    <w:rsid w:val="00CD64A1"/>
    <w:rsid w:val="00CD6E35"/>
    <w:rsid w:val="00CD737B"/>
    <w:rsid w:val="00CD7C42"/>
    <w:rsid w:val="00CE0434"/>
    <w:rsid w:val="00CE0588"/>
    <w:rsid w:val="00CE0636"/>
    <w:rsid w:val="00CE10CB"/>
    <w:rsid w:val="00CE1693"/>
    <w:rsid w:val="00CE221C"/>
    <w:rsid w:val="00CE271E"/>
    <w:rsid w:val="00CE54BE"/>
    <w:rsid w:val="00CE653A"/>
    <w:rsid w:val="00CE721C"/>
    <w:rsid w:val="00CF0F39"/>
    <w:rsid w:val="00CF15BC"/>
    <w:rsid w:val="00CF231C"/>
    <w:rsid w:val="00CF2854"/>
    <w:rsid w:val="00CF4C6D"/>
    <w:rsid w:val="00CF4D0D"/>
    <w:rsid w:val="00CF5345"/>
    <w:rsid w:val="00CF5E38"/>
    <w:rsid w:val="00CF614F"/>
    <w:rsid w:val="00D00CCD"/>
    <w:rsid w:val="00D01661"/>
    <w:rsid w:val="00D029F3"/>
    <w:rsid w:val="00D04416"/>
    <w:rsid w:val="00D04715"/>
    <w:rsid w:val="00D0588F"/>
    <w:rsid w:val="00D059E4"/>
    <w:rsid w:val="00D06949"/>
    <w:rsid w:val="00D06B1D"/>
    <w:rsid w:val="00D07914"/>
    <w:rsid w:val="00D10942"/>
    <w:rsid w:val="00D11F7D"/>
    <w:rsid w:val="00D12E25"/>
    <w:rsid w:val="00D13945"/>
    <w:rsid w:val="00D14755"/>
    <w:rsid w:val="00D14F88"/>
    <w:rsid w:val="00D158C1"/>
    <w:rsid w:val="00D167F1"/>
    <w:rsid w:val="00D16B8B"/>
    <w:rsid w:val="00D16CAF"/>
    <w:rsid w:val="00D175AB"/>
    <w:rsid w:val="00D20521"/>
    <w:rsid w:val="00D20D7A"/>
    <w:rsid w:val="00D212AE"/>
    <w:rsid w:val="00D21B2F"/>
    <w:rsid w:val="00D21C32"/>
    <w:rsid w:val="00D22631"/>
    <w:rsid w:val="00D233CB"/>
    <w:rsid w:val="00D24016"/>
    <w:rsid w:val="00D2475B"/>
    <w:rsid w:val="00D26C8A"/>
    <w:rsid w:val="00D2773A"/>
    <w:rsid w:val="00D300FD"/>
    <w:rsid w:val="00D3045B"/>
    <w:rsid w:val="00D30CDC"/>
    <w:rsid w:val="00D30FE3"/>
    <w:rsid w:val="00D3351E"/>
    <w:rsid w:val="00D339F6"/>
    <w:rsid w:val="00D344BB"/>
    <w:rsid w:val="00D3451C"/>
    <w:rsid w:val="00D3478F"/>
    <w:rsid w:val="00D34E71"/>
    <w:rsid w:val="00D352F7"/>
    <w:rsid w:val="00D35381"/>
    <w:rsid w:val="00D3648A"/>
    <w:rsid w:val="00D366C9"/>
    <w:rsid w:val="00D366FB"/>
    <w:rsid w:val="00D36705"/>
    <w:rsid w:val="00D37096"/>
    <w:rsid w:val="00D40EB1"/>
    <w:rsid w:val="00D412B6"/>
    <w:rsid w:val="00D419FC"/>
    <w:rsid w:val="00D41AFF"/>
    <w:rsid w:val="00D41E2A"/>
    <w:rsid w:val="00D426AB"/>
    <w:rsid w:val="00D42CCB"/>
    <w:rsid w:val="00D4308B"/>
    <w:rsid w:val="00D44186"/>
    <w:rsid w:val="00D442AB"/>
    <w:rsid w:val="00D4586A"/>
    <w:rsid w:val="00D45C20"/>
    <w:rsid w:val="00D46D86"/>
    <w:rsid w:val="00D473CC"/>
    <w:rsid w:val="00D475C5"/>
    <w:rsid w:val="00D5080F"/>
    <w:rsid w:val="00D511A2"/>
    <w:rsid w:val="00D511FF"/>
    <w:rsid w:val="00D51283"/>
    <w:rsid w:val="00D5140A"/>
    <w:rsid w:val="00D51E9B"/>
    <w:rsid w:val="00D526D6"/>
    <w:rsid w:val="00D52EE1"/>
    <w:rsid w:val="00D53171"/>
    <w:rsid w:val="00D53955"/>
    <w:rsid w:val="00D54B9D"/>
    <w:rsid w:val="00D54DFD"/>
    <w:rsid w:val="00D55B0E"/>
    <w:rsid w:val="00D576D9"/>
    <w:rsid w:val="00D60270"/>
    <w:rsid w:val="00D60375"/>
    <w:rsid w:val="00D60FED"/>
    <w:rsid w:val="00D616BC"/>
    <w:rsid w:val="00D61B6F"/>
    <w:rsid w:val="00D61D9A"/>
    <w:rsid w:val="00D62273"/>
    <w:rsid w:val="00D62BDB"/>
    <w:rsid w:val="00D62D5C"/>
    <w:rsid w:val="00D63230"/>
    <w:rsid w:val="00D63907"/>
    <w:rsid w:val="00D6407D"/>
    <w:rsid w:val="00D64195"/>
    <w:rsid w:val="00D64649"/>
    <w:rsid w:val="00D65395"/>
    <w:rsid w:val="00D65731"/>
    <w:rsid w:val="00D6617E"/>
    <w:rsid w:val="00D66E29"/>
    <w:rsid w:val="00D700B0"/>
    <w:rsid w:val="00D7074D"/>
    <w:rsid w:val="00D70EE5"/>
    <w:rsid w:val="00D711A2"/>
    <w:rsid w:val="00D7186F"/>
    <w:rsid w:val="00D73164"/>
    <w:rsid w:val="00D7415E"/>
    <w:rsid w:val="00D74224"/>
    <w:rsid w:val="00D74B02"/>
    <w:rsid w:val="00D75BC3"/>
    <w:rsid w:val="00D75C2E"/>
    <w:rsid w:val="00D75C68"/>
    <w:rsid w:val="00D7603E"/>
    <w:rsid w:val="00D76312"/>
    <w:rsid w:val="00D83F87"/>
    <w:rsid w:val="00D84184"/>
    <w:rsid w:val="00D844E1"/>
    <w:rsid w:val="00D854FA"/>
    <w:rsid w:val="00D85A6A"/>
    <w:rsid w:val="00D85C8B"/>
    <w:rsid w:val="00D8601B"/>
    <w:rsid w:val="00D866D7"/>
    <w:rsid w:val="00D86A8C"/>
    <w:rsid w:val="00D8789A"/>
    <w:rsid w:val="00D90AE7"/>
    <w:rsid w:val="00D92042"/>
    <w:rsid w:val="00D92681"/>
    <w:rsid w:val="00D9291D"/>
    <w:rsid w:val="00D93218"/>
    <w:rsid w:val="00D93841"/>
    <w:rsid w:val="00D93DCA"/>
    <w:rsid w:val="00D94D08"/>
    <w:rsid w:val="00D94FB4"/>
    <w:rsid w:val="00D95255"/>
    <w:rsid w:val="00D95E4C"/>
    <w:rsid w:val="00D96949"/>
    <w:rsid w:val="00D97173"/>
    <w:rsid w:val="00D972C6"/>
    <w:rsid w:val="00D97DFE"/>
    <w:rsid w:val="00D97E53"/>
    <w:rsid w:val="00DA126C"/>
    <w:rsid w:val="00DA13A4"/>
    <w:rsid w:val="00DA1B8A"/>
    <w:rsid w:val="00DA24AA"/>
    <w:rsid w:val="00DA2B7D"/>
    <w:rsid w:val="00DA3AF1"/>
    <w:rsid w:val="00DA4DFA"/>
    <w:rsid w:val="00DA648A"/>
    <w:rsid w:val="00DB0CF3"/>
    <w:rsid w:val="00DB0D3F"/>
    <w:rsid w:val="00DB0E15"/>
    <w:rsid w:val="00DB11AD"/>
    <w:rsid w:val="00DB2713"/>
    <w:rsid w:val="00DB3506"/>
    <w:rsid w:val="00DB36D2"/>
    <w:rsid w:val="00DB5F10"/>
    <w:rsid w:val="00DB5FE9"/>
    <w:rsid w:val="00DB6B6F"/>
    <w:rsid w:val="00DB7166"/>
    <w:rsid w:val="00DB7563"/>
    <w:rsid w:val="00DB78A1"/>
    <w:rsid w:val="00DC004B"/>
    <w:rsid w:val="00DC1DAE"/>
    <w:rsid w:val="00DC33EE"/>
    <w:rsid w:val="00DC41C1"/>
    <w:rsid w:val="00DC53EA"/>
    <w:rsid w:val="00DC54C2"/>
    <w:rsid w:val="00DC6E3D"/>
    <w:rsid w:val="00DC7BB4"/>
    <w:rsid w:val="00DC7D90"/>
    <w:rsid w:val="00DD1302"/>
    <w:rsid w:val="00DD14BB"/>
    <w:rsid w:val="00DD200B"/>
    <w:rsid w:val="00DD2443"/>
    <w:rsid w:val="00DD2D04"/>
    <w:rsid w:val="00DD340F"/>
    <w:rsid w:val="00DD3659"/>
    <w:rsid w:val="00DD3763"/>
    <w:rsid w:val="00DD4A27"/>
    <w:rsid w:val="00DD5AE8"/>
    <w:rsid w:val="00DD6166"/>
    <w:rsid w:val="00DD7E0E"/>
    <w:rsid w:val="00DD7EDD"/>
    <w:rsid w:val="00DE0878"/>
    <w:rsid w:val="00DE1945"/>
    <w:rsid w:val="00DE226C"/>
    <w:rsid w:val="00DE2368"/>
    <w:rsid w:val="00DE3181"/>
    <w:rsid w:val="00DE38DB"/>
    <w:rsid w:val="00DE454B"/>
    <w:rsid w:val="00DE4D1F"/>
    <w:rsid w:val="00DE4DAA"/>
    <w:rsid w:val="00DE582D"/>
    <w:rsid w:val="00DE5A3E"/>
    <w:rsid w:val="00DE604D"/>
    <w:rsid w:val="00DE6390"/>
    <w:rsid w:val="00DE6A26"/>
    <w:rsid w:val="00DE6B7E"/>
    <w:rsid w:val="00DE736A"/>
    <w:rsid w:val="00DE7A8E"/>
    <w:rsid w:val="00DE7AB8"/>
    <w:rsid w:val="00DE7C31"/>
    <w:rsid w:val="00DF0B61"/>
    <w:rsid w:val="00DF0C39"/>
    <w:rsid w:val="00DF0CAC"/>
    <w:rsid w:val="00DF10BF"/>
    <w:rsid w:val="00DF11C6"/>
    <w:rsid w:val="00DF1D4A"/>
    <w:rsid w:val="00DF2E7A"/>
    <w:rsid w:val="00DF333F"/>
    <w:rsid w:val="00DF399E"/>
    <w:rsid w:val="00DF3FBA"/>
    <w:rsid w:val="00DF430D"/>
    <w:rsid w:val="00DF4351"/>
    <w:rsid w:val="00DF449A"/>
    <w:rsid w:val="00DF4D1E"/>
    <w:rsid w:val="00DF5C9D"/>
    <w:rsid w:val="00DF66C7"/>
    <w:rsid w:val="00DF69BF"/>
    <w:rsid w:val="00DF71CD"/>
    <w:rsid w:val="00DF7ADB"/>
    <w:rsid w:val="00E004AB"/>
    <w:rsid w:val="00E008CF"/>
    <w:rsid w:val="00E00942"/>
    <w:rsid w:val="00E00B8E"/>
    <w:rsid w:val="00E0118B"/>
    <w:rsid w:val="00E01386"/>
    <w:rsid w:val="00E020E1"/>
    <w:rsid w:val="00E02987"/>
    <w:rsid w:val="00E053AA"/>
    <w:rsid w:val="00E05827"/>
    <w:rsid w:val="00E11842"/>
    <w:rsid w:val="00E119B7"/>
    <w:rsid w:val="00E12522"/>
    <w:rsid w:val="00E138A8"/>
    <w:rsid w:val="00E13A9F"/>
    <w:rsid w:val="00E1400A"/>
    <w:rsid w:val="00E14092"/>
    <w:rsid w:val="00E14D73"/>
    <w:rsid w:val="00E14E07"/>
    <w:rsid w:val="00E14F79"/>
    <w:rsid w:val="00E156D0"/>
    <w:rsid w:val="00E157C1"/>
    <w:rsid w:val="00E158E9"/>
    <w:rsid w:val="00E20282"/>
    <w:rsid w:val="00E205B2"/>
    <w:rsid w:val="00E20CCE"/>
    <w:rsid w:val="00E21E03"/>
    <w:rsid w:val="00E24BEE"/>
    <w:rsid w:val="00E25E4D"/>
    <w:rsid w:val="00E25F2D"/>
    <w:rsid w:val="00E26344"/>
    <w:rsid w:val="00E26F33"/>
    <w:rsid w:val="00E27B71"/>
    <w:rsid w:val="00E27D68"/>
    <w:rsid w:val="00E302FB"/>
    <w:rsid w:val="00E30636"/>
    <w:rsid w:val="00E30895"/>
    <w:rsid w:val="00E30B8A"/>
    <w:rsid w:val="00E311C5"/>
    <w:rsid w:val="00E3160E"/>
    <w:rsid w:val="00E316F4"/>
    <w:rsid w:val="00E31B54"/>
    <w:rsid w:val="00E323F9"/>
    <w:rsid w:val="00E3403F"/>
    <w:rsid w:val="00E34904"/>
    <w:rsid w:val="00E349C9"/>
    <w:rsid w:val="00E34CEA"/>
    <w:rsid w:val="00E34ECB"/>
    <w:rsid w:val="00E34EFF"/>
    <w:rsid w:val="00E3566A"/>
    <w:rsid w:val="00E3567E"/>
    <w:rsid w:val="00E36285"/>
    <w:rsid w:val="00E36D55"/>
    <w:rsid w:val="00E36FAA"/>
    <w:rsid w:val="00E37B4C"/>
    <w:rsid w:val="00E37D50"/>
    <w:rsid w:val="00E425E0"/>
    <w:rsid w:val="00E42D2A"/>
    <w:rsid w:val="00E43234"/>
    <w:rsid w:val="00E43D2C"/>
    <w:rsid w:val="00E44114"/>
    <w:rsid w:val="00E45010"/>
    <w:rsid w:val="00E45107"/>
    <w:rsid w:val="00E4513B"/>
    <w:rsid w:val="00E45C84"/>
    <w:rsid w:val="00E46235"/>
    <w:rsid w:val="00E471BC"/>
    <w:rsid w:val="00E47FAB"/>
    <w:rsid w:val="00E5079B"/>
    <w:rsid w:val="00E50883"/>
    <w:rsid w:val="00E51892"/>
    <w:rsid w:val="00E5217D"/>
    <w:rsid w:val="00E537B5"/>
    <w:rsid w:val="00E53C38"/>
    <w:rsid w:val="00E54C40"/>
    <w:rsid w:val="00E54E10"/>
    <w:rsid w:val="00E55480"/>
    <w:rsid w:val="00E55B03"/>
    <w:rsid w:val="00E55FBA"/>
    <w:rsid w:val="00E560CB"/>
    <w:rsid w:val="00E564CD"/>
    <w:rsid w:val="00E56DFC"/>
    <w:rsid w:val="00E5725A"/>
    <w:rsid w:val="00E601E8"/>
    <w:rsid w:val="00E6052F"/>
    <w:rsid w:val="00E60909"/>
    <w:rsid w:val="00E6127F"/>
    <w:rsid w:val="00E619D6"/>
    <w:rsid w:val="00E61B51"/>
    <w:rsid w:val="00E621F6"/>
    <w:rsid w:val="00E622E9"/>
    <w:rsid w:val="00E63E7D"/>
    <w:rsid w:val="00E6485E"/>
    <w:rsid w:val="00E64F66"/>
    <w:rsid w:val="00E6608D"/>
    <w:rsid w:val="00E66120"/>
    <w:rsid w:val="00E66345"/>
    <w:rsid w:val="00E670C8"/>
    <w:rsid w:val="00E67274"/>
    <w:rsid w:val="00E6769A"/>
    <w:rsid w:val="00E67AF8"/>
    <w:rsid w:val="00E7243A"/>
    <w:rsid w:val="00E7316B"/>
    <w:rsid w:val="00E74552"/>
    <w:rsid w:val="00E7661C"/>
    <w:rsid w:val="00E76982"/>
    <w:rsid w:val="00E76A40"/>
    <w:rsid w:val="00E76B95"/>
    <w:rsid w:val="00E77A07"/>
    <w:rsid w:val="00E80611"/>
    <w:rsid w:val="00E80E48"/>
    <w:rsid w:val="00E80F34"/>
    <w:rsid w:val="00E82244"/>
    <w:rsid w:val="00E824A4"/>
    <w:rsid w:val="00E82508"/>
    <w:rsid w:val="00E83261"/>
    <w:rsid w:val="00E83568"/>
    <w:rsid w:val="00E835A9"/>
    <w:rsid w:val="00E836F1"/>
    <w:rsid w:val="00E839A6"/>
    <w:rsid w:val="00E840B9"/>
    <w:rsid w:val="00E846D8"/>
    <w:rsid w:val="00E84CD0"/>
    <w:rsid w:val="00E84F3F"/>
    <w:rsid w:val="00E85AC3"/>
    <w:rsid w:val="00E861A0"/>
    <w:rsid w:val="00E87764"/>
    <w:rsid w:val="00E878FE"/>
    <w:rsid w:val="00E922E3"/>
    <w:rsid w:val="00E92E13"/>
    <w:rsid w:val="00E93059"/>
    <w:rsid w:val="00E934F7"/>
    <w:rsid w:val="00E935E4"/>
    <w:rsid w:val="00E93AF4"/>
    <w:rsid w:val="00E93DE2"/>
    <w:rsid w:val="00E94146"/>
    <w:rsid w:val="00E945E6"/>
    <w:rsid w:val="00E94788"/>
    <w:rsid w:val="00E952A4"/>
    <w:rsid w:val="00E95831"/>
    <w:rsid w:val="00E9591E"/>
    <w:rsid w:val="00E95ABC"/>
    <w:rsid w:val="00E97C9F"/>
    <w:rsid w:val="00EA12D7"/>
    <w:rsid w:val="00EA132D"/>
    <w:rsid w:val="00EA14B4"/>
    <w:rsid w:val="00EA1B4A"/>
    <w:rsid w:val="00EA1E7A"/>
    <w:rsid w:val="00EA2772"/>
    <w:rsid w:val="00EA3E97"/>
    <w:rsid w:val="00EA42A6"/>
    <w:rsid w:val="00EA4E1C"/>
    <w:rsid w:val="00EA52CB"/>
    <w:rsid w:val="00EA535C"/>
    <w:rsid w:val="00EA5853"/>
    <w:rsid w:val="00EA644D"/>
    <w:rsid w:val="00EA6D93"/>
    <w:rsid w:val="00EA6EAC"/>
    <w:rsid w:val="00EA7AF8"/>
    <w:rsid w:val="00EB052A"/>
    <w:rsid w:val="00EB09A1"/>
    <w:rsid w:val="00EB0E8D"/>
    <w:rsid w:val="00EB1113"/>
    <w:rsid w:val="00EB1374"/>
    <w:rsid w:val="00EB2121"/>
    <w:rsid w:val="00EB3193"/>
    <w:rsid w:val="00EB3802"/>
    <w:rsid w:val="00EB3D74"/>
    <w:rsid w:val="00EB3FE0"/>
    <w:rsid w:val="00EB4D07"/>
    <w:rsid w:val="00EB4D8D"/>
    <w:rsid w:val="00EB500F"/>
    <w:rsid w:val="00EB566C"/>
    <w:rsid w:val="00EB6335"/>
    <w:rsid w:val="00EB70AD"/>
    <w:rsid w:val="00EB72B6"/>
    <w:rsid w:val="00EB76DB"/>
    <w:rsid w:val="00EB77FD"/>
    <w:rsid w:val="00EC017E"/>
    <w:rsid w:val="00EC108F"/>
    <w:rsid w:val="00EC189D"/>
    <w:rsid w:val="00EC2671"/>
    <w:rsid w:val="00EC36FC"/>
    <w:rsid w:val="00EC3BA5"/>
    <w:rsid w:val="00EC41AF"/>
    <w:rsid w:val="00EC4CA3"/>
    <w:rsid w:val="00EC50A3"/>
    <w:rsid w:val="00EC564D"/>
    <w:rsid w:val="00EC682E"/>
    <w:rsid w:val="00EC79B0"/>
    <w:rsid w:val="00EC7CDE"/>
    <w:rsid w:val="00EC7D15"/>
    <w:rsid w:val="00ED02A9"/>
    <w:rsid w:val="00ED0F2F"/>
    <w:rsid w:val="00ED2027"/>
    <w:rsid w:val="00ED329C"/>
    <w:rsid w:val="00ED3E55"/>
    <w:rsid w:val="00ED45A7"/>
    <w:rsid w:val="00ED4979"/>
    <w:rsid w:val="00ED4A17"/>
    <w:rsid w:val="00ED4B55"/>
    <w:rsid w:val="00ED4C5C"/>
    <w:rsid w:val="00ED4EC0"/>
    <w:rsid w:val="00ED5187"/>
    <w:rsid w:val="00ED573C"/>
    <w:rsid w:val="00ED58C9"/>
    <w:rsid w:val="00ED655C"/>
    <w:rsid w:val="00ED71DA"/>
    <w:rsid w:val="00EE0286"/>
    <w:rsid w:val="00EE1576"/>
    <w:rsid w:val="00EE15AD"/>
    <w:rsid w:val="00EE23F1"/>
    <w:rsid w:val="00EE26AD"/>
    <w:rsid w:val="00EE2915"/>
    <w:rsid w:val="00EE292E"/>
    <w:rsid w:val="00EE3A23"/>
    <w:rsid w:val="00EE3A9D"/>
    <w:rsid w:val="00EE4111"/>
    <w:rsid w:val="00EE446A"/>
    <w:rsid w:val="00EE48AF"/>
    <w:rsid w:val="00EE53F4"/>
    <w:rsid w:val="00EE54C0"/>
    <w:rsid w:val="00EE5596"/>
    <w:rsid w:val="00EE6A12"/>
    <w:rsid w:val="00EE7147"/>
    <w:rsid w:val="00EE7B7F"/>
    <w:rsid w:val="00EF0031"/>
    <w:rsid w:val="00EF034B"/>
    <w:rsid w:val="00EF0D1F"/>
    <w:rsid w:val="00EF1159"/>
    <w:rsid w:val="00EF2AF7"/>
    <w:rsid w:val="00EF3164"/>
    <w:rsid w:val="00EF322E"/>
    <w:rsid w:val="00EF3604"/>
    <w:rsid w:val="00EF4057"/>
    <w:rsid w:val="00EF42B2"/>
    <w:rsid w:val="00EF44FD"/>
    <w:rsid w:val="00EF4A61"/>
    <w:rsid w:val="00EF4EA2"/>
    <w:rsid w:val="00EF5946"/>
    <w:rsid w:val="00EF5F68"/>
    <w:rsid w:val="00EF603C"/>
    <w:rsid w:val="00EF6793"/>
    <w:rsid w:val="00F00547"/>
    <w:rsid w:val="00F014E6"/>
    <w:rsid w:val="00F01CAF"/>
    <w:rsid w:val="00F03F92"/>
    <w:rsid w:val="00F04021"/>
    <w:rsid w:val="00F045AE"/>
    <w:rsid w:val="00F04C8F"/>
    <w:rsid w:val="00F10967"/>
    <w:rsid w:val="00F10D3B"/>
    <w:rsid w:val="00F10F81"/>
    <w:rsid w:val="00F110CD"/>
    <w:rsid w:val="00F11211"/>
    <w:rsid w:val="00F11652"/>
    <w:rsid w:val="00F12327"/>
    <w:rsid w:val="00F128F6"/>
    <w:rsid w:val="00F12F0C"/>
    <w:rsid w:val="00F132DE"/>
    <w:rsid w:val="00F13415"/>
    <w:rsid w:val="00F13ABF"/>
    <w:rsid w:val="00F13F87"/>
    <w:rsid w:val="00F1464F"/>
    <w:rsid w:val="00F146AB"/>
    <w:rsid w:val="00F14CE5"/>
    <w:rsid w:val="00F15E0C"/>
    <w:rsid w:val="00F15F96"/>
    <w:rsid w:val="00F161B3"/>
    <w:rsid w:val="00F162A5"/>
    <w:rsid w:val="00F16B57"/>
    <w:rsid w:val="00F17A99"/>
    <w:rsid w:val="00F17EA4"/>
    <w:rsid w:val="00F20196"/>
    <w:rsid w:val="00F204C9"/>
    <w:rsid w:val="00F20F0D"/>
    <w:rsid w:val="00F22030"/>
    <w:rsid w:val="00F22898"/>
    <w:rsid w:val="00F24CC9"/>
    <w:rsid w:val="00F25DBB"/>
    <w:rsid w:val="00F271BF"/>
    <w:rsid w:val="00F3005A"/>
    <w:rsid w:val="00F315DE"/>
    <w:rsid w:val="00F31ACC"/>
    <w:rsid w:val="00F324BF"/>
    <w:rsid w:val="00F3258B"/>
    <w:rsid w:val="00F325BA"/>
    <w:rsid w:val="00F32C22"/>
    <w:rsid w:val="00F335CE"/>
    <w:rsid w:val="00F347A7"/>
    <w:rsid w:val="00F35CF9"/>
    <w:rsid w:val="00F36676"/>
    <w:rsid w:val="00F36DD0"/>
    <w:rsid w:val="00F41090"/>
    <w:rsid w:val="00F4244A"/>
    <w:rsid w:val="00F44931"/>
    <w:rsid w:val="00F45075"/>
    <w:rsid w:val="00F453AB"/>
    <w:rsid w:val="00F453C4"/>
    <w:rsid w:val="00F45AB8"/>
    <w:rsid w:val="00F45EE1"/>
    <w:rsid w:val="00F45F12"/>
    <w:rsid w:val="00F46AEC"/>
    <w:rsid w:val="00F4708E"/>
    <w:rsid w:val="00F47B76"/>
    <w:rsid w:val="00F50584"/>
    <w:rsid w:val="00F515AE"/>
    <w:rsid w:val="00F51D24"/>
    <w:rsid w:val="00F522E8"/>
    <w:rsid w:val="00F52328"/>
    <w:rsid w:val="00F52FDD"/>
    <w:rsid w:val="00F532A7"/>
    <w:rsid w:val="00F53DE6"/>
    <w:rsid w:val="00F53F09"/>
    <w:rsid w:val="00F54850"/>
    <w:rsid w:val="00F55B38"/>
    <w:rsid w:val="00F560C5"/>
    <w:rsid w:val="00F57216"/>
    <w:rsid w:val="00F60057"/>
    <w:rsid w:val="00F6039D"/>
    <w:rsid w:val="00F60599"/>
    <w:rsid w:val="00F61264"/>
    <w:rsid w:val="00F612C4"/>
    <w:rsid w:val="00F623F7"/>
    <w:rsid w:val="00F624D4"/>
    <w:rsid w:val="00F6264E"/>
    <w:rsid w:val="00F63013"/>
    <w:rsid w:val="00F63383"/>
    <w:rsid w:val="00F63CDF"/>
    <w:rsid w:val="00F64177"/>
    <w:rsid w:val="00F65864"/>
    <w:rsid w:val="00F711A7"/>
    <w:rsid w:val="00F7217B"/>
    <w:rsid w:val="00F727DD"/>
    <w:rsid w:val="00F72847"/>
    <w:rsid w:val="00F72B11"/>
    <w:rsid w:val="00F742CD"/>
    <w:rsid w:val="00F75990"/>
    <w:rsid w:val="00F76523"/>
    <w:rsid w:val="00F7657B"/>
    <w:rsid w:val="00F767CF"/>
    <w:rsid w:val="00F76885"/>
    <w:rsid w:val="00F771EA"/>
    <w:rsid w:val="00F80E8C"/>
    <w:rsid w:val="00F814D6"/>
    <w:rsid w:val="00F85540"/>
    <w:rsid w:val="00F8599D"/>
    <w:rsid w:val="00F861AE"/>
    <w:rsid w:val="00F8649B"/>
    <w:rsid w:val="00F8657B"/>
    <w:rsid w:val="00F87241"/>
    <w:rsid w:val="00F90C55"/>
    <w:rsid w:val="00F91162"/>
    <w:rsid w:val="00F92F2A"/>
    <w:rsid w:val="00F93456"/>
    <w:rsid w:val="00F93EBB"/>
    <w:rsid w:val="00F944BE"/>
    <w:rsid w:val="00F95563"/>
    <w:rsid w:val="00F95AFE"/>
    <w:rsid w:val="00F95BF0"/>
    <w:rsid w:val="00F964A9"/>
    <w:rsid w:val="00F96FE2"/>
    <w:rsid w:val="00F97564"/>
    <w:rsid w:val="00FA0631"/>
    <w:rsid w:val="00FA092F"/>
    <w:rsid w:val="00FA2915"/>
    <w:rsid w:val="00FA497B"/>
    <w:rsid w:val="00FA49C2"/>
    <w:rsid w:val="00FA4B4F"/>
    <w:rsid w:val="00FA76C0"/>
    <w:rsid w:val="00FA7AFA"/>
    <w:rsid w:val="00FB015C"/>
    <w:rsid w:val="00FB04EC"/>
    <w:rsid w:val="00FB0BE6"/>
    <w:rsid w:val="00FB1D1B"/>
    <w:rsid w:val="00FB24A2"/>
    <w:rsid w:val="00FB2975"/>
    <w:rsid w:val="00FB2ACE"/>
    <w:rsid w:val="00FB3832"/>
    <w:rsid w:val="00FB5198"/>
    <w:rsid w:val="00FB58E6"/>
    <w:rsid w:val="00FB6006"/>
    <w:rsid w:val="00FB712B"/>
    <w:rsid w:val="00FC04F9"/>
    <w:rsid w:val="00FC0510"/>
    <w:rsid w:val="00FC1D5A"/>
    <w:rsid w:val="00FC2980"/>
    <w:rsid w:val="00FC29C1"/>
    <w:rsid w:val="00FC374B"/>
    <w:rsid w:val="00FC39E1"/>
    <w:rsid w:val="00FC3B99"/>
    <w:rsid w:val="00FC4190"/>
    <w:rsid w:val="00FC45F7"/>
    <w:rsid w:val="00FC477F"/>
    <w:rsid w:val="00FC4835"/>
    <w:rsid w:val="00FC4867"/>
    <w:rsid w:val="00FC5647"/>
    <w:rsid w:val="00FC5A17"/>
    <w:rsid w:val="00FC6715"/>
    <w:rsid w:val="00FC7ABF"/>
    <w:rsid w:val="00FD05CD"/>
    <w:rsid w:val="00FD0CF7"/>
    <w:rsid w:val="00FD1398"/>
    <w:rsid w:val="00FD1E0F"/>
    <w:rsid w:val="00FD1E4D"/>
    <w:rsid w:val="00FD266A"/>
    <w:rsid w:val="00FD2881"/>
    <w:rsid w:val="00FD2EF0"/>
    <w:rsid w:val="00FD3C89"/>
    <w:rsid w:val="00FD3DF4"/>
    <w:rsid w:val="00FD6013"/>
    <w:rsid w:val="00FD6B7D"/>
    <w:rsid w:val="00FD74DF"/>
    <w:rsid w:val="00FD76F8"/>
    <w:rsid w:val="00FD7ACC"/>
    <w:rsid w:val="00FE001F"/>
    <w:rsid w:val="00FE1D18"/>
    <w:rsid w:val="00FE2AF3"/>
    <w:rsid w:val="00FE2B2E"/>
    <w:rsid w:val="00FE3762"/>
    <w:rsid w:val="00FE3FA3"/>
    <w:rsid w:val="00FE4789"/>
    <w:rsid w:val="00FE63AE"/>
    <w:rsid w:val="00FE67E8"/>
    <w:rsid w:val="00FE72E1"/>
    <w:rsid w:val="00FE7696"/>
    <w:rsid w:val="00FE76A1"/>
    <w:rsid w:val="00FE7D31"/>
    <w:rsid w:val="00FF24BA"/>
    <w:rsid w:val="00FF264C"/>
    <w:rsid w:val="00FF2889"/>
    <w:rsid w:val="00FF293D"/>
    <w:rsid w:val="00FF4DFE"/>
    <w:rsid w:val="00FF5432"/>
    <w:rsid w:val="00FF54F9"/>
    <w:rsid w:val="00FF6DE4"/>
    <w:rsid w:val="00FF6F63"/>
    <w:rsid w:val="00FF7348"/>
    <w:rsid w:val="00FF7833"/>
    <w:rsid w:val="00FF789C"/>
    <w:rsid w:val="38320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unhideWhenUsed="0"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nhideWhenUsed="0" w:uiPriority="0" w:semiHidden="0" w:name="Normal Indent"/>
    <w:lsdException w:uiPriority="0" w:name="footnote text"/>
    <w:lsdException w:uiPriority="0" w:name="annotation text"/>
    <w:lsdException w:unhideWhenUsed="0" w:uiPriority="99" w:semiHidden="0" w:name="header"/>
    <w:lsdException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8"/>
    <w:qFormat/>
    <w:uiPriority w:val="0"/>
    <w:pPr>
      <w:widowControl/>
      <w:jc w:val="left"/>
      <w:outlineLvl w:val="2"/>
    </w:pPr>
    <w:rPr>
      <w:rFonts w:ascii="宋体" w:hAnsi="宋体" w:eastAsia="宋体"/>
      <w:b/>
      <w:bCs/>
      <w:kern w:val="0"/>
      <w:sz w:val="27"/>
      <w:szCs w:val="27"/>
    </w:rPr>
  </w:style>
  <w:style w:type="character" w:default="1" w:styleId="13">
    <w:name w:val="Default Paragraph Font"/>
    <w:unhideWhenUsed/>
    <w:uiPriority w:val="1"/>
  </w:style>
  <w:style w:type="table" w:default="1" w:styleId="16">
    <w:name w:val="Normal Table"/>
    <w:unhideWhenUsed/>
    <w:uiPriority w:val="99"/>
    <w:tblPr>
      <w:tblLayout w:type="fixed"/>
      <w:tblCellMar>
        <w:top w:w="0" w:type="dxa"/>
        <w:left w:w="108" w:type="dxa"/>
        <w:bottom w:w="0" w:type="dxa"/>
        <w:right w:w="108" w:type="dxa"/>
      </w:tblCellMar>
    </w:tblPr>
  </w:style>
  <w:style w:type="paragraph" w:styleId="5">
    <w:name w:val="Normal Indent"/>
    <w:basedOn w:val="1"/>
    <w:uiPriority w:val="0"/>
    <w:pPr>
      <w:spacing w:line="480" w:lineRule="auto"/>
      <w:ind w:firstLine="420"/>
    </w:pPr>
    <w:rPr>
      <w:rFonts w:eastAsia="宋体"/>
      <w:spacing w:val="10"/>
      <w:szCs w:val="20"/>
    </w:rPr>
  </w:style>
  <w:style w:type="paragraph" w:styleId="6">
    <w:name w:val="caption"/>
    <w:basedOn w:val="1"/>
    <w:next w:val="1"/>
    <w:unhideWhenUsed/>
    <w:qFormat/>
    <w:uiPriority w:val="0"/>
    <w:rPr>
      <w:rFonts w:eastAsia="黑体" w:asciiTheme="majorHAnsi" w:hAnsiTheme="majorHAnsi" w:cstheme="majorBidi"/>
      <w:sz w:val="20"/>
      <w:szCs w:val="20"/>
    </w:rPr>
  </w:style>
  <w:style w:type="paragraph" w:styleId="7">
    <w:name w:val="Balloon Text"/>
    <w:basedOn w:val="1"/>
    <w:link w:val="21"/>
    <w:uiPriority w:val="0"/>
    <w:rPr>
      <w:sz w:val="18"/>
      <w:szCs w:val="18"/>
    </w:rPr>
  </w:style>
  <w:style w:type="paragraph" w:styleId="8">
    <w:name w:val="footer"/>
    <w:basedOn w:val="1"/>
    <w:link w:val="20"/>
    <w:uiPriority w:val="0"/>
    <w:pPr>
      <w:tabs>
        <w:tab w:val="center" w:pos="4153"/>
        <w:tab w:val="right" w:pos="8306"/>
      </w:tabs>
      <w:snapToGrid w:val="0"/>
      <w:jc w:val="left"/>
    </w:pPr>
    <w:rPr>
      <w:sz w:val="18"/>
      <w:szCs w:val="18"/>
    </w:rPr>
  </w:style>
  <w:style w:type="paragraph" w:styleId="9">
    <w:name w:val="header"/>
    <w:basedOn w:val="1"/>
    <w:link w:val="26"/>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qFormat/>
    <w:uiPriority w:val="0"/>
  </w:style>
  <w:style w:type="paragraph" w:styleId="11">
    <w:name w:val="toc 2"/>
    <w:basedOn w:val="1"/>
    <w:next w:val="1"/>
    <w:semiHidden/>
    <w:uiPriority w:val="0"/>
    <w:pPr>
      <w:ind w:left="420" w:leftChars="200"/>
    </w:p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4">
    <w:name w:val="page number"/>
    <w:basedOn w:val="13"/>
    <w:uiPriority w:val="0"/>
  </w:style>
  <w:style w:type="character" w:styleId="15">
    <w:name w:val="Hyperlink"/>
    <w:uiPriority w:val="0"/>
    <w:rPr>
      <w:color w:val="0000FF"/>
      <w:u w:val="single"/>
    </w:rPr>
  </w:style>
  <w:style w:type="table" w:styleId="17">
    <w:name w:val="Table Grid"/>
    <w:basedOn w:val="1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标题 3 字符"/>
    <w:link w:val="4"/>
    <w:uiPriority w:val="0"/>
    <w:rPr>
      <w:rFonts w:ascii="宋体" w:hAnsi="宋体" w:eastAsia="宋体"/>
      <w:b/>
      <w:bCs/>
      <w:sz w:val="27"/>
      <w:szCs w:val="27"/>
      <w:lang w:bidi="ar-SA"/>
    </w:rPr>
  </w:style>
  <w:style w:type="paragraph" w:customStyle="1" w:styleId="19">
    <w:name w:val="Char"/>
    <w:basedOn w:val="1"/>
    <w:uiPriority w:val="0"/>
    <w:pPr>
      <w:tabs>
        <w:tab w:val="left" w:pos="360"/>
      </w:tabs>
    </w:pPr>
    <w:rPr>
      <w:rFonts w:eastAsia="宋体"/>
      <w:sz w:val="24"/>
    </w:rPr>
  </w:style>
  <w:style w:type="character" w:customStyle="1" w:styleId="20">
    <w:name w:val="页脚 字符"/>
    <w:link w:val="8"/>
    <w:qFormat/>
    <w:uiPriority w:val="0"/>
    <w:rPr>
      <w:rFonts w:eastAsia="??"/>
      <w:kern w:val="2"/>
      <w:sz w:val="18"/>
      <w:szCs w:val="18"/>
      <w:lang w:val="en-US" w:eastAsia="zh-CN" w:bidi="ar-SA"/>
    </w:rPr>
  </w:style>
  <w:style w:type="character" w:customStyle="1" w:styleId="21">
    <w:name w:val="批注框文本 字符"/>
    <w:basedOn w:val="13"/>
    <w:link w:val="7"/>
    <w:uiPriority w:val="0"/>
    <w:rPr>
      <w:rFonts w:eastAsia="??"/>
      <w:kern w:val="2"/>
      <w:sz w:val="18"/>
      <w:szCs w:val="18"/>
    </w:rPr>
  </w:style>
  <w:style w:type="paragraph" w:customStyle="1" w:styleId="22">
    <w:name w:val="论文正文"/>
    <w:basedOn w:val="1"/>
    <w:link w:val="23"/>
    <w:uiPriority w:val="0"/>
    <w:pPr>
      <w:adjustRightInd w:val="0"/>
      <w:snapToGrid w:val="0"/>
      <w:spacing w:line="400" w:lineRule="exact"/>
      <w:ind w:firstLine="200" w:firstLineChars="200"/>
    </w:pPr>
    <w:rPr>
      <w:rFonts w:eastAsia="宋体"/>
      <w:sz w:val="24"/>
    </w:rPr>
  </w:style>
  <w:style w:type="character" w:customStyle="1" w:styleId="23">
    <w:name w:val="论文正文 Char"/>
    <w:link w:val="22"/>
    <w:uiPriority w:val="0"/>
    <w:rPr>
      <w:kern w:val="2"/>
      <w:sz w:val="24"/>
      <w:szCs w:val="24"/>
    </w:rPr>
  </w:style>
  <w:style w:type="paragraph" w:customStyle="1" w:styleId="24">
    <w:name w:val="List Paragraph"/>
    <w:basedOn w:val="1"/>
    <w:qFormat/>
    <w:uiPriority w:val="34"/>
    <w:pPr>
      <w:ind w:firstLine="420" w:firstLineChars="200"/>
    </w:pPr>
  </w:style>
  <w:style w:type="paragraph" w:customStyle="1" w:styleId="25">
    <w:name w:val="文件副标题"/>
    <w:next w:val="1"/>
    <w:qFormat/>
    <w:uiPriority w:val="0"/>
    <w:pPr>
      <w:widowControl w:val="0"/>
      <w:overflowPunct w:val="0"/>
      <w:spacing w:beforeLines="30" w:afterLines="30" w:line="440" w:lineRule="exact"/>
      <w:jc w:val="center"/>
    </w:pPr>
    <w:rPr>
      <w:rFonts w:ascii="Times New Roman" w:hAnsi="Times New Roman" w:eastAsia="楷体" w:cs="Times New Roman"/>
      <w:sz w:val="24"/>
      <w:lang w:val="en-US" w:eastAsia="zh-CN" w:bidi="ar-SA"/>
    </w:rPr>
  </w:style>
  <w:style w:type="character" w:customStyle="1" w:styleId="26">
    <w:name w:val="页眉 字符"/>
    <w:basedOn w:val="13"/>
    <w:link w:val="9"/>
    <w:uiPriority w:val="99"/>
    <w:rPr>
      <w:rFonts w:eastAsia="??"/>
      <w:kern w:val="2"/>
      <w:sz w:val="18"/>
      <w:szCs w:val="18"/>
    </w:rPr>
  </w:style>
  <w:style w:type="character" w:customStyle="1" w:styleId="27">
    <w:name w:val="Placeholder Text"/>
    <w:basedOn w:val="13"/>
    <w:semiHidden/>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image" Target="media/image5.emf"/><Relationship Id="rId14" Type="http://schemas.openxmlformats.org/officeDocument/2006/relationships/oleObject" Target="embeddings/oleObject4.bin"/><Relationship Id="rId13" Type="http://schemas.openxmlformats.org/officeDocument/2006/relationships/image" Target="media/image4.emf"/><Relationship Id="rId12" Type="http://schemas.openxmlformats.org/officeDocument/2006/relationships/oleObject" Target="embeddings/oleObject3.bin"/><Relationship Id="rId11" Type="http://schemas.openxmlformats.org/officeDocument/2006/relationships/image" Target="media/image3.emf"/><Relationship Id="rId10" Type="http://schemas.openxmlformats.org/officeDocument/2006/relationships/oleObject" Target="embeddings/oleObject2.bin"/><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6A36D8-031A-48B4-BA3B-1001EB1971E3}">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1737</Words>
  <Characters>9903</Characters>
  <Lines>82</Lines>
  <Paragraphs>23</Paragraphs>
  <TotalTime>3313</TotalTime>
  <ScaleCrop>false</ScaleCrop>
  <LinksUpToDate>false</LinksUpToDate>
  <CharactersWithSpaces>11617</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2020-06-11T14:02:00Z</dcterms:created>
  <dc:creator>ThinkPad</dc:creator>
  <cp:lastModifiedBy>s10</cp:lastModifiedBy>
  <cp:lastPrinted>2017-01-24T07:31:00Z</cp:lastPrinted>
  <dcterms:modified xsi:type="dcterms:W3CDTF">2021-09-28T09:16:07Z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