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eastAsia="方正黑体_GBK"/>
          <w:snapToGrid w:val="0"/>
          <w:kern w:val="0"/>
        </w:rPr>
      </w:pPr>
    </w:p>
    <w:p>
      <w:pPr>
        <w:rPr>
          <w:rFonts w:hint="default" w:eastAsia="方正黑体_GBK"/>
          <w:snapToGrid w:val="0"/>
          <w:kern w:val="0"/>
        </w:rPr>
      </w:pPr>
      <w:r>
        <w:rPr>
          <w:rFonts w:ascii="方正黑体_GBK" w:eastAsia="方正黑体_GBK"/>
          <w:snapToGrid w:val="0"/>
          <w:kern w:val="0"/>
        </w:rPr>
        <w:t xml:space="preserve"> </w:t>
      </w:r>
    </w:p>
    <w:p>
      <w:pPr>
        <w:spacing w:line="500" w:lineRule="exact"/>
        <w:jc w:val="center"/>
        <w:rPr>
          <w:rFonts w:hint="default" w:ascii="方正仿宋_GBK"/>
          <w:snapToGrid w:val="0"/>
          <w:kern w:val="0"/>
        </w:rPr>
      </w:pPr>
    </w:p>
    <w:p>
      <w:pPr>
        <w:spacing w:line="540" w:lineRule="exact"/>
        <w:rPr>
          <w:rFonts w:hint="default" w:ascii="方正仿宋_GBK"/>
          <w:snapToGrid w:val="0"/>
          <w:kern w:val="0"/>
        </w:rPr>
      </w:pPr>
    </w:p>
    <w:p>
      <w:pPr>
        <w:spacing w:line="620" w:lineRule="exact"/>
        <w:jc w:val="center"/>
        <w:rPr>
          <w:rFonts w:hint="default" w:ascii="方正仿宋_GBK" w:hAnsi="方正仿宋_GBK" w:cs="方正仿宋_GBK"/>
          <w:snapToGrid w:val="0"/>
          <w:kern w:val="0"/>
          <w:szCs w:val="32"/>
        </w:rPr>
      </w:pPr>
      <w:r>
        <w:rPr>
          <w:rFonts w:ascii="方正仿宋_GBK" w:hAnsi="方正仿宋_GBK" w:cs="方正仿宋_GBK"/>
          <w:snapToGrid w:val="0"/>
          <w:kern w:val="0"/>
          <w:szCs w:val="32"/>
        </w:rPr>
        <w:t>巴南减办〔</w:t>
      </w:r>
      <w:r>
        <w:rPr>
          <w:rFonts w:ascii="方正仿宋_GBK" w:hAnsi="方正仿宋_GBK" w:cs="方正仿宋_GBK"/>
          <w:szCs w:val="32"/>
          <w:lang w:val="zh-CN"/>
        </w:rPr>
        <w:t>20</w:t>
      </w:r>
      <w:r>
        <w:rPr>
          <w:rFonts w:ascii="方正仿宋_GBK" w:hAnsi="方正仿宋_GBK" w:cs="方正仿宋_GBK"/>
          <w:szCs w:val="32"/>
        </w:rPr>
        <w:t>22</w:t>
      </w:r>
      <w:r>
        <w:rPr>
          <w:rFonts w:ascii="方正仿宋_GBK" w:hAnsi="方正仿宋_GBK" w:cs="方正仿宋_GBK"/>
          <w:snapToGrid w:val="0"/>
          <w:kern w:val="0"/>
          <w:szCs w:val="32"/>
        </w:rPr>
        <w:t>〕</w:t>
      </w:r>
      <w:r>
        <w:rPr>
          <w:rFonts w:hint="eastAsia" w:ascii="方正仿宋_GBK" w:hAnsi="方正仿宋_GBK" w:cs="方正仿宋_GBK"/>
          <w:snapToGrid w:val="0"/>
          <w:kern w:val="0"/>
          <w:szCs w:val="32"/>
          <w:lang w:val="en-US" w:eastAsia="zh-CN"/>
        </w:rPr>
        <w:t>22</w:t>
      </w:r>
      <w:r>
        <w:rPr>
          <w:rFonts w:ascii="方正仿宋_GBK" w:hAnsi="方正仿宋_GBK" w:cs="方正仿宋_GBK"/>
          <w:snapToGrid w:val="0"/>
          <w:kern w:val="0"/>
          <w:szCs w:val="32"/>
        </w:rPr>
        <w:t>号</w:t>
      </w:r>
    </w:p>
    <w:p>
      <w:pPr>
        <w:spacing w:line="620" w:lineRule="exact"/>
        <w:jc w:val="center"/>
        <w:rPr>
          <w:rFonts w:hint="default" w:ascii="方正小标宋_GBK" w:eastAsia="方正小标宋_GBK" w:cs="宋体"/>
          <w:kern w:val="0"/>
          <w:sz w:val="44"/>
          <w:szCs w:val="44"/>
        </w:rPr>
      </w:pP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436" w:firstLineChars="100"/>
        <w:jc w:val="center"/>
        <w:textAlignment w:val="auto"/>
        <w:outlineLvl w:val="9"/>
        <w:rPr>
          <w:rFonts w:hint="default" w:ascii="方正小标宋_GBK" w:hAnsi="黑体" w:eastAsia="方正小标宋_GBK"/>
          <w:sz w:val="44"/>
          <w:szCs w:val="44"/>
        </w:rPr>
      </w:pPr>
      <w:r>
        <w:rPr>
          <w:rFonts w:ascii="方正小标宋_GBK" w:hAnsi="黑体" w:eastAsia="方正小标宋_GBK"/>
          <w:sz w:val="44"/>
          <w:szCs w:val="44"/>
        </w:rPr>
        <w:t>重庆市巴南区减灾委员会办公室</w:t>
      </w:r>
    </w:p>
    <w:p>
      <w:pPr>
        <w:keepNext w:val="0"/>
        <w:keepLines w:val="0"/>
        <w:pageBreakBefore w:val="0"/>
        <w:widowControl w:val="0"/>
        <w:kinsoku/>
        <w:wordWrap/>
        <w:overflowPunct w:val="0"/>
        <w:topLinePunct w:val="0"/>
        <w:autoSpaceDE w:val="0"/>
        <w:autoSpaceDN w:val="0"/>
        <w:bidi w:val="0"/>
        <w:adjustRightInd w:val="0"/>
        <w:snapToGrid w:val="0"/>
        <w:spacing w:line="550" w:lineRule="exact"/>
        <w:jc w:val="center"/>
        <w:textAlignment w:val="auto"/>
        <w:outlineLvl w:val="9"/>
        <w:rPr>
          <w:rFonts w:hint="default" w:ascii="方正小标宋_GBK" w:hAnsi="宋体" w:eastAsia="方正小标宋_GBK"/>
          <w:sz w:val="44"/>
          <w:szCs w:val="44"/>
        </w:rPr>
      </w:pPr>
      <w:r>
        <w:rPr>
          <w:rFonts w:ascii="方正小标宋_GBK" w:hAnsi="仿宋" w:eastAsia="方正小标宋_GBK"/>
          <w:sz w:val="44"/>
          <w:szCs w:val="44"/>
        </w:rPr>
        <w:t>关于转发《</w:t>
      </w:r>
      <w:r>
        <w:rPr>
          <w:rFonts w:ascii="方正小标宋_GBK" w:hAnsi="黑体" w:eastAsia="方正小标宋_GBK"/>
          <w:sz w:val="44"/>
          <w:szCs w:val="44"/>
        </w:rPr>
        <w:t>重庆市应急管理局关于开展2022年因灾倒损住房恢复重建工作</w:t>
      </w:r>
      <w:r>
        <w:rPr>
          <w:rFonts w:ascii="方正小标宋_GBK" w:hAnsi="宋体" w:eastAsia="方正小标宋_GBK"/>
          <w:sz w:val="44"/>
          <w:szCs w:val="44"/>
        </w:rPr>
        <w:t>的通知</w:t>
      </w:r>
      <w:r>
        <w:rPr>
          <w:rFonts w:ascii="方正小标宋_GBK" w:hAnsi="仿宋" w:eastAsia="方正小标宋_GBK"/>
          <w:sz w:val="44"/>
          <w:szCs w:val="44"/>
        </w:rPr>
        <w:t>》的通知</w:t>
      </w:r>
    </w:p>
    <w:p>
      <w:pPr>
        <w:pStyle w:val="18"/>
        <w:spacing w:line="550" w:lineRule="exact"/>
        <w:jc w:val="center"/>
        <w:rPr>
          <w:rFonts w:eastAsia="方正仿宋_GBK"/>
          <w:kern w:val="32"/>
          <w:sz w:val="32"/>
          <w:szCs w:val="32"/>
        </w:rPr>
      </w:pPr>
    </w:p>
    <w:p>
      <w:pPr>
        <w:keepNext w:val="0"/>
        <w:keepLines w:val="0"/>
        <w:pageBreakBefore w:val="0"/>
        <w:widowControl w:val="0"/>
        <w:kinsoku/>
        <w:wordWrap/>
        <w:overflowPunct w:val="0"/>
        <w:topLinePunct w:val="0"/>
        <w:autoSpaceDE w:val="0"/>
        <w:autoSpaceDN w:val="0"/>
        <w:bidi w:val="0"/>
        <w:adjustRightInd/>
        <w:snapToGrid/>
        <w:spacing w:line="540" w:lineRule="exact"/>
        <w:textAlignment w:val="auto"/>
        <w:outlineLvl w:val="9"/>
        <w:rPr>
          <w:rFonts w:hint="eastAsia" w:ascii="方正仿宋_GBK" w:hAnsi="方正仿宋_GBK" w:eastAsia="方正仿宋_GBK" w:cs="方正仿宋_GBK"/>
          <w:szCs w:val="32"/>
        </w:rPr>
      </w:pPr>
      <w:bookmarkStart w:id="0" w:name="_GoBack"/>
      <w:r>
        <w:rPr>
          <w:rFonts w:hint="eastAsia" w:ascii="方正仿宋_GBK" w:hAnsi="方正仿宋_GBK" w:eastAsia="方正仿宋_GBK" w:cs="方正仿宋_GBK"/>
          <w:snapToGrid w:val="0"/>
          <w:color w:val="000000"/>
          <w:kern w:val="0"/>
          <w:szCs w:val="32"/>
        </w:rPr>
        <w:t>各镇人民政府、街道办事处</w:t>
      </w:r>
      <w:r>
        <w:rPr>
          <w:rFonts w:hint="eastAsia" w:ascii="方正仿宋_GBK" w:hAnsi="方正仿宋_GBK" w:eastAsia="方正仿宋_GBK" w:cs="方正仿宋_GBK"/>
          <w:szCs w:val="32"/>
        </w:rPr>
        <w:t>：</w:t>
      </w:r>
    </w:p>
    <w:p>
      <w:pPr>
        <w:keepNext w:val="0"/>
        <w:keepLines w:val="0"/>
        <w:pageBreakBefore w:val="0"/>
        <w:widowControl w:val="0"/>
        <w:kinsoku/>
        <w:wordWrap/>
        <w:overflowPunct w:val="0"/>
        <w:topLinePunct w:val="0"/>
        <w:autoSpaceDE w:val="0"/>
        <w:autoSpaceDN w:val="0"/>
        <w:bidi w:val="0"/>
        <w:adjustRightInd/>
        <w:snapToGrid/>
        <w:spacing w:line="540" w:lineRule="exact"/>
        <w:ind w:firstLine="632" w:firstLineChars="200"/>
        <w:textAlignment w:val="auto"/>
        <w:outlineLvl w:val="9"/>
        <w:rPr>
          <w:rFonts w:hint="eastAsia" w:ascii="方正仿宋_GBK" w:hAnsi="方正仿宋_GBK" w:eastAsia="方正仿宋_GBK" w:cs="方正仿宋_GBK"/>
          <w:kern w:val="32"/>
          <w:szCs w:val="32"/>
        </w:rPr>
      </w:pPr>
      <w:r>
        <w:rPr>
          <w:rFonts w:hint="eastAsia" w:ascii="方正仿宋_GBK" w:hAnsi="方正仿宋_GBK" w:eastAsia="方正仿宋_GBK" w:cs="方正仿宋_GBK"/>
          <w:kern w:val="32"/>
          <w:szCs w:val="32"/>
        </w:rPr>
        <w:t>现将重庆市应急管理局《关于开展2022年因灾倒损住房恢复重建工作的通知》（渝应急发</w:t>
      </w:r>
      <w:r>
        <w:rPr>
          <w:rFonts w:hint="eastAsia" w:ascii="方正仿宋_GBK" w:hAnsi="方正仿宋_GBK" w:eastAsia="方正仿宋_GBK" w:cs="方正仿宋_GBK"/>
          <w:spacing w:val="-8"/>
          <w:szCs w:val="32"/>
        </w:rPr>
        <w:t>〔2022〕</w:t>
      </w:r>
      <w:r>
        <w:rPr>
          <w:rFonts w:hint="eastAsia" w:ascii="方正仿宋_GBK" w:hAnsi="方正仿宋_GBK" w:eastAsia="方正仿宋_GBK" w:cs="方正仿宋_GBK"/>
        </w:rPr>
        <w:t>61</w:t>
      </w:r>
      <w:r>
        <w:rPr>
          <w:rFonts w:hint="eastAsia" w:ascii="方正仿宋_GBK" w:hAnsi="方正仿宋_GBK" w:eastAsia="方正仿宋_GBK" w:cs="方正仿宋_GBK"/>
          <w:kern w:val="32"/>
          <w:szCs w:val="32"/>
        </w:rPr>
        <w:t>号）</w:t>
      </w:r>
      <w:r>
        <w:rPr>
          <w:rFonts w:hint="eastAsia" w:ascii="方正仿宋_GBK" w:hAnsi="方正仿宋_GBK" w:eastAsia="方正仿宋_GBK" w:cs="方正仿宋_GBK"/>
          <w:spacing w:val="-8"/>
          <w:szCs w:val="32"/>
        </w:rPr>
        <w:t>转发给你们，</w:t>
      </w:r>
      <w:r>
        <w:rPr>
          <w:rFonts w:hint="eastAsia" w:ascii="方正仿宋_GBK" w:hAnsi="方正仿宋_GBK" w:eastAsia="方正仿宋_GBK" w:cs="方正仿宋_GBK"/>
          <w:szCs w:val="32"/>
        </w:rPr>
        <w:t>请按照通知要求，</w:t>
      </w:r>
      <w:r>
        <w:rPr>
          <w:rFonts w:hint="eastAsia" w:ascii="方正仿宋_GBK" w:hAnsi="方正仿宋_GBK" w:eastAsia="方正仿宋_GBK" w:cs="方正仿宋_GBK"/>
          <w:kern w:val="32"/>
          <w:szCs w:val="32"/>
        </w:rPr>
        <w:t>认真做好因灾倒损住房恢复重建工作，全力确保人民群众生命财产安全。并于10月12日前上报《2022年重庆市因灾倒损住房恢复重建计划统计表》（附件1）；10月28日起，每月13日、28日前上报《2022年重庆市因灾倒损住房恢复重建进度情况统计表》（附件2）直至重建任务全部完成。报送方式：党政网传区应急管理局；联系人：余泉，联系电话：62858628。</w:t>
      </w:r>
    </w:p>
    <w:p>
      <w:pPr>
        <w:keepNext w:val="0"/>
        <w:keepLines w:val="0"/>
        <w:pageBreakBefore w:val="0"/>
        <w:widowControl w:val="0"/>
        <w:kinsoku/>
        <w:wordWrap/>
        <w:overflowPunct w:val="0"/>
        <w:topLinePunct w:val="0"/>
        <w:autoSpaceDE w:val="0"/>
        <w:autoSpaceDN w:val="0"/>
        <w:bidi w:val="0"/>
        <w:adjustRightInd/>
        <w:snapToGrid/>
        <w:spacing w:line="540" w:lineRule="exact"/>
        <w:ind w:firstLine="632" w:firstLineChars="200"/>
        <w:textAlignment w:val="auto"/>
        <w:outlineLvl w:val="9"/>
        <w:rPr>
          <w:rFonts w:hint="eastAsia" w:ascii="方正仿宋_GBK" w:hAnsi="方正仿宋_GBK" w:eastAsia="方正仿宋_GBK" w:cs="方正仿宋_GBK"/>
          <w:szCs w:val="32"/>
        </w:rPr>
      </w:pPr>
    </w:p>
    <w:p>
      <w:pPr>
        <w:keepNext w:val="0"/>
        <w:keepLines w:val="0"/>
        <w:pageBreakBefore w:val="0"/>
        <w:widowControl w:val="0"/>
        <w:kinsoku/>
        <w:wordWrap/>
        <w:overflowPunct w:val="0"/>
        <w:topLinePunct w:val="0"/>
        <w:autoSpaceDE w:val="0"/>
        <w:autoSpaceDN w:val="0"/>
        <w:bidi w:val="0"/>
        <w:adjustRightInd/>
        <w:snapToGrid/>
        <w:spacing w:line="540" w:lineRule="exact"/>
        <w:ind w:firstLine="3792" w:firstLineChars="1200"/>
        <w:textAlignment w:val="auto"/>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重庆市巴南区减灾委员会办公室</w:t>
      </w:r>
    </w:p>
    <w:p>
      <w:pPr>
        <w:keepNext w:val="0"/>
        <w:keepLines w:val="0"/>
        <w:pageBreakBefore w:val="0"/>
        <w:widowControl w:val="0"/>
        <w:kinsoku/>
        <w:wordWrap/>
        <w:overflowPunct w:val="0"/>
        <w:topLinePunct w:val="0"/>
        <w:autoSpaceDE w:val="0"/>
        <w:autoSpaceDN w:val="0"/>
        <w:bidi w:val="0"/>
        <w:adjustRightInd/>
        <w:snapToGrid/>
        <w:spacing w:line="540" w:lineRule="exact"/>
        <w:ind w:firstLine="632" w:firstLineChars="200"/>
        <w:textAlignment w:val="auto"/>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 xml:space="preserve">                             2022年9月23日</w:t>
      </w:r>
    </w:p>
    <w:p>
      <w:pPr>
        <w:pStyle w:val="4"/>
        <w:keepNext w:val="0"/>
        <w:keepLines w:val="0"/>
        <w:pageBreakBefore w:val="0"/>
        <w:widowControl w:val="0"/>
        <w:kinsoku/>
        <w:wordWrap/>
        <w:topLinePunct w:val="0"/>
        <w:bidi w:val="0"/>
        <w:adjustRightInd/>
        <w:snapToGrid/>
        <w:spacing w:line="540" w:lineRule="exact"/>
        <w:ind w:right="1061" w:rightChars="336"/>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bookmarkEnd w:id="0"/>
    <w:p>
      <w:pPr>
        <w:jc w:val="both"/>
        <w:outlineLvl w:val="0"/>
      </w:pPr>
    </w:p>
    <w:p>
      <w:pPr>
        <w:jc w:val="center"/>
        <w:outlineLvl w:val="0"/>
      </w:pPr>
    </w:p>
    <w:p>
      <w:pPr>
        <w:jc w:val="center"/>
        <w:outlineLvl w:val="0"/>
        <w:rPr>
          <w:rFonts w:hint="default"/>
        </w:rPr>
      </w:pPr>
      <w:r>
        <w:t>渝应急发〔2022〕61号</w:t>
      </w:r>
    </w:p>
    <w:p>
      <w:pPr>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1"/>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重庆市应急管理局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关于开展2022年因灾倒损住房</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恢复重建工作的通知</w:t>
      </w:r>
    </w:p>
    <w:p>
      <w:pPr>
        <w:spacing w:line="540" w:lineRule="exact"/>
        <w:ind w:firstLine="632" w:firstLineChars="200"/>
        <w:rPr>
          <w:rFonts w:hint="default"/>
        </w:rPr>
      </w:pPr>
    </w:p>
    <w:p>
      <w:pPr>
        <w:keepNext w:val="0"/>
        <w:keepLines w:val="0"/>
        <w:pageBreakBefore w:val="0"/>
        <w:widowControl w:val="0"/>
        <w:kinsoku/>
        <w:wordWrap/>
        <w:overflowPunct w:val="0"/>
        <w:topLinePunct w:val="0"/>
        <w:autoSpaceDE w:val="0"/>
        <w:autoSpaceDN w:val="0"/>
        <w:bidi w:val="0"/>
        <w:adjustRightInd/>
        <w:snapToGrid/>
        <w:spacing w:line="560" w:lineRule="exact"/>
        <w:textAlignment w:val="auto"/>
        <w:outlineLvl w:val="9"/>
        <w:rPr>
          <w:rFonts w:hint="default"/>
        </w:rPr>
      </w:pPr>
      <w:r>
        <w:rPr>
          <w:szCs w:val="32"/>
        </w:rPr>
        <w:t>各区县（自治县）应急局，两江新区、西部科学城重庆高新区、万盛经开区应急局：</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t>今年以来，我市先后遭受洪涝、地质、风雹等多种自然灾害，造成受灾地区部分群众住房倒塌和损坏。根据</w:t>
      </w:r>
      <w:r>
        <w:rPr>
          <w:rFonts w:hint="default"/>
          <w:color w:val="000000"/>
        </w:rPr>
        <w:t>《重庆市因灾倒塌住房恢复重建补助资金管理工作规程》</w:t>
      </w:r>
      <w:r>
        <w:rPr>
          <w:color w:val="000000"/>
        </w:rPr>
        <w:t>（渝应急发〔2019〕79号）</w:t>
      </w:r>
      <w:r>
        <w:rPr>
          <w:szCs w:val="22"/>
        </w:rPr>
        <w:t>等文件精神，为帮助受灾人员重建家园，现就开展</w:t>
      </w:r>
      <w:r>
        <w:rPr>
          <w:rFonts w:hint="default"/>
          <w:szCs w:val="22"/>
        </w:rPr>
        <w:t>20</w:t>
      </w:r>
      <w:r>
        <w:rPr>
          <w:szCs w:val="22"/>
        </w:rPr>
        <w:t>22年全市因灾倒塌、损坏住房恢复重建工作有关</w:t>
      </w:r>
      <w:r>
        <w:t>事宜通知如下：</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eastAsia="方正黑体_GBK"/>
        </w:rPr>
      </w:pPr>
      <w:r>
        <w:rPr>
          <w:rFonts w:eastAsia="方正黑体_GBK"/>
        </w:rPr>
        <w:t>一、准确认定倒房重建补助对象</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（一）组织倒房核查。</w:t>
      </w:r>
      <w:r>
        <w:t>各区县（自治县，两江新区、</w:t>
      </w:r>
      <w:r>
        <w:rPr>
          <w:szCs w:val="32"/>
        </w:rPr>
        <w:t>西部科学城</w:t>
      </w:r>
      <w:r>
        <w:t>重庆高新区、万盛经开区，以下统称区县）要组织人员，依托乡镇（街道）和村（社区），深入现场查看受灾人员倒损住房情况，建立因灾倒塌、损坏住房户台账，摸清灾害损失情况，掌握受灾人员家庭经济状况，做到底数清、情况明、数据准。</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（二）认定补助对象</w:t>
      </w:r>
      <w:r>
        <w:t>。因灾倒塌、损坏住房恢复重建资金补助对象为因自然灾害造成以居住为使用目的唯一房屋出现倒塌或严重损坏，靠自身能力无法解决居住问题的困难人员。因灾倒损的独立厨房、牲畜棚等辅助用房、活动房、简易房、工棚和临时房屋不纳入倒塌、损坏住房恢复重建资金补助范围。</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ascii="方正仿宋_GBK"/>
        </w:rPr>
      </w:pPr>
      <w:r>
        <w:rPr>
          <w:rFonts w:ascii="方正楷体_GBK" w:hAnsi="方正楷体_GBK" w:eastAsia="方正楷体_GBK" w:cs="方正楷体_GBK"/>
        </w:rPr>
        <w:t>（三）严格认定程序</w:t>
      </w:r>
      <w:r>
        <w:rPr>
          <w:rFonts w:ascii="方正仿宋_GBK"/>
        </w:rPr>
        <w:t>。要严格按照“户报、村评、乡核、县定”的程序确定恢复重建资金补助对象。即由受灾人员提出因灾倒损住房恢复重建资金申请；乡镇</w:t>
      </w:r>
      <w:r>
        <w:t>（街道）</w:t>
      </w:r>
      <w:r>
        <w:rPr>
          <w:rFonts w:ascii="方正仿宋_GBK"/>
        </w:rPr>
        <w:t>、村（社区）干部入户实地察看；经村（社区）民主评议、乡镇审核并张榜公示无异议后，报区县应急局审批。</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eastAsia="方正黑体_GBK"/>
        </w:rPr>
      </w:pPr>
      <w:r>
        <w:rPr>
          <w:rFonts w:eastAsia="方正黑体_GBK"/>
        </w:rPr>
        <w:t>二、明确倒房重建补助标准</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（一）明确补助标准</w:t>
      </w:r>
      <w:r>
        <w:t>。对纳入恢复重建计划的受灾户，应根据审核确定的损失情况和家庭经济状况，合理确定不同的救助金额，防止平均分配。今年，全市因灾倒塌、损坏居民住房恢复重建补助指导标准为：倒塌、严重损坏房屋恢复重建，按6000元/间的标准给予补助，</w:t>
      </w:r>
      <w:r>
        <w:rPr>
          <w:rFonts w:hint="default"/>
        </w:rPr>
        <w:t>4</w:t>
      </w:r>
      <w:r>
        <w:t>间及以上的补助25</w:t>
      </w:r>
      <w:r>
        <w:rPr>
          <w:rFonts w:hint="default"/>
        </w:rPr>
        <w:t>000</w:t>
      </w:r>
      <w:r>
        <w:t>元；一般损坏房屋维修，根据损失程度和自救能力，可给予适当补助。各区县在此基础上，可结合本地实际，适当提高资金补助标准，并向低保对象、散居特困供养人员、脱贫户、监测户等特殊困难家庭适度倾斜。</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（二）整合政策资源。</w:t>
      </w:r>
      <w:r>
        <w:t>各区县要结合本地</w:t>
      </w:r>
      <w:r>
        <w:rPr>
          <w:rFonts w:hint="eastAsia" w:ascii="方正仿宋_GBK" w:hAnsi="方正仿宋_GBK" w:eastAsia="方正仿宋_GBK" w:cs="方正仿宋_GBK"/>
        </w:rPr>
        <w:t>实际，制定因灾倒塌、损坏居民住房恢复重建工作实施方案，明确补助范围、资金差异性补助标准、优惠政策、时间要求和保障措施等，推进重建工作有序开展。倒房重建工作实施过程中，要注意把因灾倒损住房恢复重建与新农村建设工程、金土工程、易地扶贫搬迁、地灾避险搬迁有机结合起来，整合资源，统筹推进，</w:t>
      </w:r>
      <w:r>
        <w:rPr>
          <w:rFonts w:hint="eastAsia" w:ascii="方正仿宋_GBK" w:hAnsi="方正仿宋_GBK" w:eastAsia="方正仿宋_GBK" w:cs="方正仿宋_GBK"/>
          <w:szCs w:val="32"/>
        </w:rPr>
        <w:t>进一步提高补助额度，充分体现“重点救助、分类救助”的原则。要积极</w:t>
      </w:r>
      <w:r>
        <w:rPr>
          <w:rFonts w:ascii="方正仿宋_GBK"/>
          <w:szCs w:val="32"/>
        </w:rPr>
        <w:t>协同相关部门对因灾倒塌、损坏居民住房恢复重建户的水、电、气、闭路电视等提出减免</w:t>
      </w:r>
      <w:r>
        <w:rPr>
          <w:rFonts w:ascii="方正仿宋_GBK"/>
        </w:rPr>
        <w:t>优惠政策</w:t>
      </w:r>
      <w:r>
        <w:rPr>
          <w:rFonts w:ascii="方正仿宋_GBK"/>
          <w:szCs w:val="32"/>
        </w:rPr>
        <w:t>。</w:t>
      </w:r>
    </w:p>
    <w:p>
      <w:pPr>
        <w:keepNext w:val="0"/>
        <w:keepLines w:val="0"/>
        <w:pageBreakBefore w:val="0"/>
        <w:widowControl w:val="0"/>
        <w:numPr>
          <w:ilvl w:val="0"/>
          <w:numId w:val="1"/>
        </w:numPr>
        <w:kinsoku/>
        <w:wordWrap/>
        <w:overflowPunct w:val="0"/>
        <w:topLinePunct w:val="0"/>
        <w:autoSpaceDE w:val="0"/>
        <w:autoSpaceDN w:val="0"/>
        <w:bidi w:val="0"/>
        <w:adjustRightInd/>
        <w:snapToGrid/>
        <w:spacing w:line="560" w:lineRule="exact"/>
        <w:ind w:firstLine="632" w:firstLineChars="200"/>
        <w:textAlignment w:val="auto"/>
        <w:outlineLvl w:val="9"/>
        <w:rPr>
          <w:rFonts w:hint="default" w:eastAsia="方正黑体_GBK"/>
        </w:rPr>
      </w:pPr>
      <w:r>
        <w:rPr>
          <w:rFonts w:eastAsia="方正黑体_GBK"/>
        </w:rPr>
        <w:t>认真落实倒房重建补助资金</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（一）落实补助资金。</w:t>
      </w:r>
      <w:r>
        <w:t>倒损住房恢复重建补助对象审核确定后，各区县应急局要及时协同财政部门，按照财政预算资金拨付有关规定，认真落实倒损住房恢复重建补助资金，并组织实施补助资金发放。</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（二）规范资金发放。</w:t>
      </w:r>
      <w:r>
        <w:t>倒损住房恢复重建补助资金必须直接发放到户，并对资金的拨付程序、方式、数额和使用要求进行公示，做到标准明确、程序规范、手续完备、凭证齐全、公开透明、公平公正。在补助资金的拨付过程中，一次性告知后，可以按照工程进度实行分段分期发放。对统一组织和施工的集中重建点项目，补助资金也应落实到户、通知到人。补助资金应通过“一卡（折）通”发放到户，确保资金拨付安全、规范、高效。</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eastAsia="方正黑体_GBK"/>
        </w:rPr>
      </w:pPr>
      <w:r>
        <w:rPr>
          <w:rFonts w:eastAsia="方正黑体_GBK"/>
        </w:rPr>
        <w:t>四、积极推进倒房重建工作</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（一）加强档案管理</w:t>
      </w:r>
      <w:r>
        <w:t>。各区县应将</w:t>
      </w:r>
      <w:r>
        <w:rPr>
          <w:rFonts w:ascii="方正仿宋_GBK"/>
        </w:rPr>
        <w:t>“户报、村评、乡核、县定”四个环节的相关资料整理归</w:t>
      </w:r>
      <w:r>
        <w:t>档，并加强管理。同时注意收集重建工作图片、声像资料，以便全面准确反映灾区倒损住房恢复重建情况及救助效果。</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（二）统一设置标识。</w:t>
      </w:r>
      <w:r>
        <w:t>重建工程竣工后，无论是集中重建点，还是分散重建点，都要设置受灾人员倒损住房恢复重建永久性标识牌（应急安居工程），各区县应统一制作（相关制作要求：1、材质：铝材；2、规格：40㎝×30㎝；3、颜色：蓝底白框，蓝色值为</w:t>
      </w:r>
      <w:r>
        <w:rPr>
          <w:rFonts w:hint="default"/>
        </w:rPr>
        <w:t>C100M60Y0K0</w:t>
      </w:r>
      <w:r>
        <w:t>；4、字体及颜色：白色方正粗黑宋简体；5、字号及位置：居中排列“应急安居工程”字样，字号为285号；右下角标注“重庆市＊＊区县（自治县）应急局”字样，字号为66号）。</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（三）严格资金监管。</w:t>
      </w:r>
      <w:r>
        <w:t>倒损住房恢复重建补助资金管理工作的监督、检查要贯穿于恢复重建工作的全过程。各区县在恢复重建工作推进中，要指导乡镇政府做好资金补助对象及补助资金发放的公示工作，定期通报补助资金的发放进度，检查乡镇政府对补助资金的管理使用情况，补助资金应做到专款专用，严禁</w:t>
      </w:r>
      <w:r>
        <w:rPr>
          <w:rFonts w:ascii="方正仿宋_GBK" w:hAnsi="方正仿宋_GBK" w:cs="方正仿宋_GBK"/>
          <w:szCs w:val="32"/>
        </w:rPr>
        <w:t>超范围使用，违者将依规依纪处理</w:t>
      </w:r>
      <w:r>
        <w:t>。市应急局将适时对各区县倒房恢复重建工作开展情况进行抽查，检查各项建房政策措施落实情况、重建方案执行情况、资金到户情况、建设进度情况等。</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（四）及时上报数据</w:t>
      </w:r>
      <w:r>
        <w:t>。各区县要高度重视信息数据的采集上报工作，要安排专人，明确职责，认真、及时、准确地统计汇总本地区倒损住房恢复重建情况，确保上报数据真实准确。10月14日前，上报《</w:t>
      </w:r>
      <w:r>
        <w:rPr>
          <w:rFonts w:hint="default"/>
        </w:rPr>
        <w:t>20</w:t>
      </w:r>
      <w:r>
        <w:t>22年重庆市因灾倒损住房恢复重建计划统计表》（附件1）；10月30日前上报一次《</w:t>
      </w:r>
      <w:r>
        <w:rPr>
          <w:rFonts w:hint="default"/>
        </w:rPr>
        <w:t>20</w:t>
      </w:r>
      <w:r>
        <w:t>22年重庆市因灾倒损住房恢复重建进度情况统计表》（附件2）。</w:t>
      </w:r>
      <w:r>
        <w:rPr>
          <w:rFonts w:hint="default"/>
        </w:rPr>
        <w:t>1</w:t>
      </w:r>
      <w:r>
        <w:t>1月起，每月15日、30日前均应上报一次附件2，直至重建任务全部完成。</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rPr>
          <w:rFonts w:ascii="方正楷体_GBK" w:hAnsi="方正楷体_GBK" w:eastAsia="方正楷体_GBK" w:cs="方正楷体_GBK"/>
        </w:rPr>
        <w:t>（五）扎实推进工作</w:t>
      </w:r>
      <w:r>
        <w:t>。各区县要坚持“人民至上、生命至上”理念，进一步强化责任担当，切实加强组织领导，认真总结经验做法，扎实推进因灾倒损住房恢复重建各项工作。各区县在重建工作实施过程中如有困难和问题等可及时上报市应急局，同时要加强对重点乡镇（街道）的跟踪指导和督促检查。各区县务必于2023年春节前完成重建任务，确保受灾人员春节前入住新居。</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p>
    <w:p>
      <w:pPr>
        <w:keepNext w:val="0"/>
        <w:keepLines w:val="0"/>
        <w:pageBreakBefore w:val="0"/>
        <w:widowControl w:val="0"/>
        <w:kinsoku/>
        <w:wordWrap/>
        <w:overflowPunct w:val="0"/>
        <w:topLinePunct w:val="0"/>
        <w:autoSpaceDE w:val="0"/>
        <w:autoSpaceDN w:val="0"/>
        <w:bidi w:val="0"/>
        <w:adjustRightInd/>
        <w:snapToGrid/>
        <w:spacing w:line="560" w:lineRule="exact"/>
        <w:ind w:firstLine="632" w:firstLineChars="200"/>
        <w:textAlignment w:val="auto"/>
        <w:outlineLvl w:val="9"/>
        <w:rPr>
          <w:rFonts w:hint="default"/>
        </w:rPr>
      </w:pPr>
      <w:r>
        <w:t>附件：</w:t>
      </w:r>
      <w:r>
        <w:rPr>
          <w:rFonts w:hint="default"/>
        </w:rPr>
        <w:t>1.20</w:t>
      </w:r>
      <w:r>
        <w:t>22年重庆市因灾倒损住房恢复重建计划统计表</w:t>
      </w:r>
    </w:p>
    <w:p>
      <w:pPr>
        <w:keepNext w:val="0"/>
        <w:keepLines w:val="0"/>
        <w:pageBreakBefore w:val="0"/>
        <w:widowControl w:val="0"/>
        <w:kinsoku/>
        <w:wordWrap/>
        <w:overflowPunct w:val="0"/>
        <w:topLinePunct w:val="0"/>
        <w:autoSpaceDE w:val="0"/>
        <w:autoSpaceDN w:val="0"/>
        <w:bidi w:val="0"/>
        <w:adjustRightInd/>
        <w:snapToGrid/>
        <w:spacing w:line="560" w:lineRule="exact"/>
        <w:ind w:firstLine="1580" w:firstLineChars="500"/>
        <w:textAlignment w:val="auto"/>
        <w:outlineLvl w:val="9"/>
        <w:rPr>
          <w:rFonts w:hint="default"/>
          <w:w w:val="96"/>
        </w:rPr>
      </w:pPr>
      <w:r>
        <w:t>2.</w:t>
      </w:r>
      <w:r>
        <w:rPr>
          <w:rFonts w:hint="eastAsia" w:ascii="方正仿宋_GBK" w:hAnsi="方正仿宋_GBK" w:eastAsia="方正仿宋_GBK" w:cs="方正仿宋_GBK"/>
          <w:w w:val="96"/>
        </w:rPr>
        <w:t>2022</w:t>
      </w:r>
      <w:r>
        <w:rPr>
          <w:w w:val="96"/>
        </w:rPr>
        <w:t>年重庆市因灾倒损住房恢复重建进度情况统计表</w:t>
      </w:r>
    </w:p>
    <w:p>
      <w:pPr>
        <w:spacing w:line="540" w:lineRule="exact"/>
        <w:ind w:firstLine="632" w:firstLineChars="200"/>
        <w:rPr>
          <w:rFonts w:hint="default"/>
        </w:rPr>
      </w:pPr>
    </w:p>
    <w:p>
      <w:pPr>
        <w:spacing w:line="540" w:lineRule="exact"/>
        <w:ind w:firstLine="632" w:firstLineChars="200"/>
        <w:rPr>
          <w:rFonts w:hint="default"/>
        </w:rPr>
      </w:pPr>
    </w:p>
    <w:p>
      <w:pPr>
        <w:spacing w:line="540" w:lineRule="exact"/>
        <w:ind w:firstLine="632" w:firstLineChars="200"/>
        <w:rPr>
          <w:rFonts w:hint="default"/>
        </w:rPr>
      </w:pPr>
      <w:r>
        <w:t>　　　　　　　　　　　　　　重庆市应急管理局</w:t>
      </w:r>
    </w:p>
    <w:p>
      <w:pPr>
        <w:spacing w:line="540" w:lineRule="exact"/>
        <w:ind w:right="1264" w:rightChars="400"/>
        <w:jc w:val="right"/>
        <w:rPr>
          <w:rFonts w:hint="default"/>
        </w:rPr>
        <w:sectPr>
          <w:footerReference r:id="rId4" w:type="default"/>
          <w:headerReference r:id="rId3" w:type="even"/>
          <w:footerReference r:id="rId5" w:type="even"/>
          <w:pgSz w:w="11906" w:h="16838"/>
          <w:pgMar w:top="2098" w:right="1474" w:bottom="1984" w:left="1587" w:header="851" w:footer="1474" w:gutter="0"/>
          <w:pgNumType w:fmt="numberInDash"/>
          <w:cols w:space="720" w:num="1"/>
          <w:docGrid w:type="linesAndChars" w:linePitch="579" w:charSpace="-842"/>
        </w:sectPr>
      </w:pPr>
      <w:r>
        <w:t xml:space="preserve">　　                         </w:t>
      </w:r>
      <w:r>
        <w:rPr>
          <w:rFonts w:hint="default"/>
        </w:rPr>
        <w:t>20</w:t>
      </w:r>
      <w:r>
        <w:t>22年9月22日</w:t>
      </w:r>
    </w:p>
    <w:p>
      <w:pPr>
        <w:snapToGrid w:val="0"/>
        <w:spacing w:line="240" w:lineRule="atLeast"/>
        <w:rPr>
          <w:rFonts w:hint="default" w:ascii="方正黑体_GBK" w:hAnsi="方正黑体_GBK" w:eastAsia="方正黑体_GBK" w:cs="方正黑体_GBK"/>
          <w:color w:val="000000"/>
        </w:rPr>
      </w:pPr>
      <w:r>
        <w:rPr>
          <w:rFonts w:ascii="方正黑体_GBK" w:hAnsi="方正黑体_GBK" w:eastAsia="方正黑体_GBK" w:cs="方正黑体_GBK"/>
          <w:color w:val="000000"/>
        </w:rPr>
        <w:t>附件1</w:t>
      </w:r>
    </w:p>
    <w:p>
      <w:pPr>
        <w:snapToGrid w:val="0"/>
        <w:jc w:val="center"/>
        <w:rPr>
          <w:rFonts w:hint="default" w:ascii="宋体" w:hAnsi="宋体"/>
          <w:kern w:val="0"/>
          <w:sz w:val="44"/>
          <w:szCs w:val="44"/>
        </w:rPr>
      </w:pPr>
      <w:r>
        <w:rPr>
          <w:rFonts w:ascii="方正小标宋_GBK" w:hAnsi="方正小标宋_GBK" w:eastAsia="方正小标宋_GBK" w:cs="方正小标宋_GBK"/>
          <w:kern w:val="0"/>
          <w:sz w:val="44"/>
          <w:szCs w:val="44"/>
        </w:rPr>
        <w:t>2022年重庆市因灾倒损住房恢复重建计划统计表</w:t>
      </w:r>
    </w:p>
    <w:p>
      <w:pPr>
        <w:snapToGrid w:val="0"/>
        <w:spacing w:line="240" w:lineRule="atLeast"/>
        <w:rPr>
          <w:rFonts w:hint="default" w:ascii="方正仿宋_GBK" w:hAnsi="方正仿宋_GBK" w:cs="方正仿宋_GBK"/>
          <w:color w:val="000000"/>
          <w:sz w:val="24"/>
        </w:rPr>
      </w:pPr>
      <w:r>
        <w:rPr>
          <w:rFonts w:ascii="方正仿宋_GBK" w:hAnsi="方正仿宋_GBK" w:cs="方正仿宋_GBK"/>
          <w:kern w:val="0"/>
          <w:sz w:val="24"/>
        </w:rPr>
        <w:t>填报单位：</w:t>
      </w:r>
    </w:p>
    <w:tbl>
      <w:tblPr>
        <w:tblStyle w:val="12"/>
        <w:tblpPr w:leftFromText="180" w:rightFromText="180" w:vertAnchor="text" w:horzAnchor="page" w:tblpX="1075" w:tblpY="269"/>
        <w:tblOverlap w:val="never"/>
        <w:tblW w:w="14600" w:type="dxa"/>
        <w:tblInd w:w="0" w:type="dxa"/>
        <w:tblLayout w:type="fixed"/>
        <w:tblCellMar>
          <w:top w:w="15" w:type="dxa"/>
          <w:left w:w="15" w:type="dxa"/>
          <w:bottom w:w="15" w:type="dxa"/>
          <w:right w:w="15" w:type="dxa"/>
        </w:tblCellMar>
      </w:tblPr>
      <w:tblGrid>
        <w:gridCol w:w="1020"/>
        <w:gridCol w:w="1067"/>
        <w:gridCol w:w="2161"/>
        <w:gridCol w:w="1019"/>
        <w:gridCol w:w="938"/>
        <w:gridCol w:w="856"/>
        <w:gridCol w:w="826"/>
        <w:gridCol w:w="863"/>
        <w:gridCol w:w="1020"/>
        <w:gridCol w:w="1164"/>
        <w:gridCol w:w="1165"/>
        <w:gridCol w:w="728"/>
        <w:gridCol w:w="909"/>
        <w:gridCol w:w="864"/>
      </w:tblGrid>
      <w:tr>
        <w:tblPrEx>
          <w:tblLayout w:type="fixed"/>
          <w:tblCellMar>
            <w:top w:w="15" w:type="dxa"/>
            <w:left w:w="15" w:type="dxa"/>
            <w:bottom w:w="15" w:type="dxa"/>
            <w:right w:w="15" w:type="dxa"/>
          </w:tblCellMar>
        </w:tblPrEx>
        <w:trPr>
          <w:trHeight w:val="315" w:hRule="atLeast"/>
        </w:trPr>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区县</w:t>
            </w:r>
          </w:p>
          <w:p>
            <w:pPr>
              <w:widowControl/>
              <w:jc w:val="center"/>
              <w:textAlignment w:val="center"/>
              <w:rPr>
                <w:rFonts w:hint="default" w:ascii="方正黑体_GBK" w:hAnsi="方正黑体_GBK" w:eastAsia="方正黑体_GBK" w:cs="方正黑体_GBK"/>
                <w:color w:val="000000"/>
                <w:sz w:val="20"/>
              </w:rPr>
            </w:pPr>
          </w:p>
        </w:tc>
        <w:tc>
          <w:tcPr>
            <w:tcW w:w="10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集中</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重建点</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建设</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个数</w:t>
            </w:r>
          </w:p>
        </w:tc>
        <w:tc>
          <w:tcPr>
            <w:tcW w:w="21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集中重建点</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建设地点</w:t>
            </w:r>
          </w:p>
        </w:tc>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集中</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建设</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住房</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总户数</w:t>
            </w:r>
          </w:p>
        </w:tc>
        <w:tc>
          <w:tcPr>
            <w:tcW w:w="3483"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其中</w:t>
            </w:r>
          </w:p>
        </w:tc>
        <w:tc>
          <w:tcPr>
            <w:tcW w:w="334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集中重建点计划投入情况</w:t>
            </w:r>
          </w:p>
        </w:tc>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是否</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异地</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重建（是或否）</w:t>
            </w:r>
          </w:p>
        </w:tc>
        <w:tc>
          <w:tcPr>
            <w:tcW w:w="177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分散建房计划</w:t>
            </w: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3483"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334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3483"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334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受灾</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人员</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建房</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户数</w:t>
            </w:r>
          </w:p>
        </w:tc>
        <w:tc>
          <w:tcPr>
            <w:tcW w:w="8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受灾</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人员</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建房</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人数</w:t>
            </w:r>
          </w:p>
        </w:tc>
        <w:tc>
          <w:tcPr>
            <w:tcW w:w="8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受灾</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人员</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建房</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间数</w:t>
            </w:r>
          </w:p>
        </w:tc>
        <w:tc>
          <w:tcPr>
            <w:tcW w:w="8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受灾</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人员</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建房</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总面积</w:t>
            </w:r>
          </w:p>
        </w:tc>
        <w:tc>
          <w:tcPr>
            <w:tcW w:w="21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集中重建点</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建设总投资</w:t>
            </w:r>
          </w:p>
        </w:tc>
        <w:tc>
          <w:tcPr>
            <w:tcW w:w="11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当地</w:t>
            </w:r>
          </w:p>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建房</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造价</w:t>
            </w: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受灾人员住房建设总投资</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kern w:val="0"/>
                <w:sz w:val="20"/>
              </w:rPr>
            </w:pPr>
            <w:r>
              <w:rPr>
                <w:rFonts w:ascii="方正黑体_GBK" w:hAnsi="方正黑体_GBK" w:eastAsia="方正黑体_GBK" w:cs="方正黑体_GBK"/>
                <w:color w:val="000000"/>
                <w:kern w:val="0"/>
                <w:sz w:val="20"/>
              </w:rPr>
              <w:t>基础设施</w:t>
            </w:r>
          </w:p>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建设总投资</w:t>
            </w: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5"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01"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户</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户</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人</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间</w:t>
            </w:r>
          </w:p>
        </w:tc>
        <w:tc>
          <w:tcPr>
            <w:tcW w:w="8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万元</w:t>
            </w:r>
          </w:p>
        </w:tc>
        <w:tc>
          <w:tcPr>
            <w:tcW w:w="11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万元</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元/㎡</w:t>
            </w: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户</w:t>
            </w:r>
          </w:p>
        </w:tc>
        <w:tc>
          <w:tcPr>
            <w:tcW w:w="8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间</w:t>
            </w:r>
          </w:p>
        </w:tc>
      </w:tr>
      <w:tr>
        <w:tblPrEx>
          <w:tblLayout w:type="fixed"/>
          <w:tblCellMar>
            <w:top w:w="15" w:type="dxa"/>
            <w:left w:w="15" w:type="dxa"/>
            <w:bottom w:w="15" w:type="dxa"/>
            <w:right w:w="15" w:type="dxa"/>
          </w:tblCellMar>
        </w:tblPrEx>
        <w:trPr>
          <w:trHeight w:val="301" w:hRule="atLeast"/>
        </w:trPr>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01"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01" w:hRule="atLeast"/>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r>
        <w:tblPrEx>
          <w:tblLayout w:type="fixed"/>
          <w:tblCellMar>
            <w:top w:w="15" w:type="dxa"/>
            <w:left w:w="15" w:type="dxa"/>
            <w:bottom w:w="15" w:type="dxa"/>
            <w:right w:w="15" w:type="dxa"/>
          </w:tblCellMar>
        </w:tblPrEx>
        <w:trPr>
          <w:trHeight w:val="317" w:hRule="atLeast"/>
        </w:trPr>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黑体_GBK" w:hAnsi="方正黑体_GBK" w:eastAsia="方正黑体_GBK" w:cs="方正黑体_GBK"/>
                <w:color w:val="000000"/>
                <w:sz w:val="20"/>
              </w:rPr>
            </w:pPr>
            <w:r>
              <w:rPr>
                <w:rFonts w:ascii="方正黑体_GBK" w:hAnsi="方正黑体_GBK" w:eastAsia="方正黑体_GBK" w:cs="方正黑体_GBK"/>
                <w:color w:val="000000"/>
                <w:kern w:val="0"/>
                <w:sz w:val="20"/>
              </w:rPr>
              <w:t>合计</w:t>
            </w:r>
          </w:p>
        </w:tc>
        <w:tc>
          <w:tcPr>
            <w:tcW w:w="10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216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1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2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90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c>
          <w:tcPr>
            <w:tcW w:w="8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方正黑体_GBK" w:hAnsi="方正黑体_GBK" w:eastAsia="方正黑体_GBK" w:cs="方正黑体_GBK"/>
                <w:color w:val="000000"/>
                <w:sz w:val="20"/>
              </w:rPr>
            </w:pPr>
          </w:p>
        </w:tc>
      </w:tr>
    </w:tbl>
    <w:p>
      <w:pPr>
        <w:snapToGrid w:val="0"/>
        <w:spacing w:line="240" w:lineRule="atLeast"/>
        <w:rPr>
          <w:rFonts w:hint="default" w:hAnsi="宋体"/>
          <w:color w:val="000000"/>
          <w:kern w:val="0"/>
          <w:sz w:val="24"/>
        </w:rPr>
      </w:pPr>
      <w:r>
        <w:rPr>
          <w:rFonts w:hAnsi="宋体"/>
          <w:color w:val="000000"/>
          <w:kern w:val="0"/>
          <w:sz w:val="24"/>
        </w:rPr>
        <w:t xml:space="preserve">  </w:t>
      </w:r>
    </w:p>
    <w:p>
      <w:pPr>
        <w:snapToGrid w:val="0"/>
        <w:rPr>
          <w:rFonts w:hint="default"/>
          <w:color w:val="000000"/>
          <w:kern w:val="0"/>
          <w:sz w:val="24"/>
          <w:szCs w:val="24"/>
        </w:rPr>
      </w:pPr>
      <w:r>
        <w:rPr>
          <w:rFonts w:hAnsi="宋体"/>
          <w:color w:val="000000"/>
          <w:kern w:val="0"/>
          <w:sz w:val="24"/>
        </w:rPr>
        <w:t xml:space="preserve"> </w:t>
      </w:r>
      <w:r>
        <w:rPr>
          <w:rFonts w:hAnsi="宋体"/>
          <w:color w:val="000000"/>
          <w:kern w:val="0"/>
          <w:sz w:val="24"/>
          <w:szCs w:val="24"/>
        </w:rPr>
        <w:t xml:space="preserve"> </w:t>
      </w:r>
      <w:r>
        <w:rPr>
          <w:rFonts w:hint="default"/>
          <w:color w:val="000000"/>
          <w:kern w:val="0"/>
          <w:sz w:val="24"/>
          <w:szCs w:val="24"/>
        </w:rPr>
        <w:t xml:space="preserve"> </w:t>
      </w:r>
      <w:r>
        <w:rPr>
          <w:color w:val="000000"/>
          <w:kern w:val="0"/>
          <w:sz w:val="24"/>
          <w:szCs w:val="24"/>
        </w:rPr>
        <w:t>　</w:t>
      </w:r>
      <w:r>
        <w:rPr>
          <w:rFonts w:hint="default"/>
          <w:color w:val="000000"/>
          <w:kern w:val="0"/>
          <w:sz w:val="24"/>
          <w:szCs w:val="24"/>
        </w:rPr>
        <w:t>注：此表于</w:t>
      </w:r>
      <w:r>
        <w:rPr>
          <w:color w:val="000000"/>
          <w:kern w:val="0"/>
          <w:sz w:val="24"/>
          <w:szCs w:val="24"/>
        </w:rPr>
        <w:t>10</w:t>
      </w:r>
      <w:r>
        <w:rPr>
          <w:rFonts w:hint="default"/>
          <w:color w:val="000000"/>
          <w:kern w:val="0"/>
          <w:sz w:val="24"/>
          <w:szCs w:val="24"/>
        </w:rPr>
        <w:t>月</w:t>
      </w:r>
      <w:r>
        <w:rPr>
          <w:color w:val="000000"/>
          <w:kern w:val="0"/>
          <w:sz w:val="24"/>
          <w:szCs w:val="24"/>
        </w:rPr>
        <w:t>14</w:t>
      </w:r>
      <w:r>
        <w:rPr>
          <w:rFonts w:hint="default"/>
          <w:color w:val="000000"/>
          <w:kern w:val="0"/>
          <w:sz w:val="24"/>
          <w:szCs w:val="24"/>
        </w:rPr>
        <w:t>日前</w:t>
      </w:r>
      <w:r>
        <w:rPr>
          <w:color w:val="000000"/>
          <w:kern w:val="0"/>
          <w:sz w:val="24"/>
          <w:szCs w:val="24"/>
        </w:rPr>
        <w:t>上</w:t>
      </w:r>
      <w:r>
        <w:rPr>
          <w:rFonts w:hint="default"/>
          <w:color w:val="000000"/>
          <w:kern w:val="0"/>
          <w:sz w:val="24"/>
          <w:szCs w:val="24"/>
        </w:rPr>
        <w:t>报市</w:t>
      </w:r>
      <w:r>
        <w:rPr>
          <w:color w:val="000000"/>
          <w:kern w:val="0"/>
          <w:sz w:val="24"/>
          <w:szCs w:val="24"/>
        </w:rPr>
        <w:t>应急</w:t>
      </w:r>
      <w:r>
        <w:rPr>
          <w:rFonts w:hint="default"/>
          <w:color w:val="000000"/>
          <w:kern w:val="0"/>
          <w:sz w:val="24"/>
          <w:szCs w:val="24"/>
        </w:rPr>
        <w:t>局救灾和物资保障处。  联系人：耿佃峰    电话：63015768</w:t>
      </w:r>
    </w:p>
    <w:p>
      <w:pPr>
        <w:snapToGrid w:val="0"/>
        <w:rPr>
          <w:rFonts w:hint="default"/>
          <w:color w:val="000000"/>
          <w:sz w:val="24"/>
          <w:szCs w:val="24"/>
        </w:rPr>
      </w:pPr>
      <w:r>
        <w:rPr>
          <w:rFonts w:hint="default"/>
          <w:color w:val="000000"/>
          <w:kern w:val="0"/>
          <w:sz w:val="24"/>
          <w:szCs w:val="24"/>
        </w:rPr>
        <w:t xml:space="preserve">      </w:t>
      </w:r>
      <w:r>
        <w:rPr>
          <w:color w:val="000000"/>
          <w:kern w:val="0"/>
          <w:sz w:val="24"/>
          <w:szCs w:val="24"/>
        </w:rPr>
        <w:t>　</w:t>
      </w:r>
      <w:r>
        <w:rPr>
          <w:rFonts w:hint="default"/>
          <w:color w:val="000000"/>
          <w:kern w:val="0"/>
          <w:sz w:val="24"/>
          <w:szCs w:val="24"/>
        </w:rPr>
        <w:t>单位负责人：　　　　　</w:t>
      </w:r>
      <w:r>
        <w:rPr>
          <w:color w:val="000000"/>
          <w:kern w:val="0"/>
          <w:sz w:val="24"/>
          <w:szCs w:val="24"/>
        </w:rPr>
        <w:t>　</w:t>
      </w:r>
      <w:r>
        <w:rPr>
          <w:rFonts w:hint="default"/>
          <w:color w:val="000000"/>
          <w:kern w:val="0"/>
          <w:sz w:val="24"/>
          <w:szCs w:val="24"/>
        </w:rPr>
        <w:t>　　填报人：　　</w:t>
      </w:r>
      <w:r>
        <w:rPr>
          <w:color w:val="000000"/>
          <w:kern w:val="0"/>
          <w:sz w:val="24"/>
          <w:szCs w:val="24"/>
        </w:rPr>
        <w:t>　</w:t>
      </w:r>
      <w:r>
        <w:rPr>
          <w:rFonts w:hint="default"/>
          <w:color w:val="000000"/>
          <w:kern w:val="0"/>
          <w:sz w:val="24"/>
          <w:szCs w:val="24"/>
        </w:rPr>
        <w:t>　　　　　</w:t>
      </w:r>
      <w:r>
        <w:rPr>
          <w:rFonts w:ascii="方正仿宋_GBK" w:hAnsi="方正仿宋_GBK" w:cs="方正仿宋_GBK"/>
          <w:kern w:val="0"/>
          <w:sz w:val="24"/>
          <w:szCs w:val="24"/>
        </w:rPr>
        <w:t xml:space="preserve">联系电话：  </w:t>
      </w:r>
      <w:r>
        <w:rPr>
          <w:rFonts w:hint="default"/>
          <w:color w:val="000000"/>
          <w:kern w:val="0"/>
          <w:sz w:val="24"/>
          <w:szCs w:val="24"/>
        </w:rPr>
        <w:t>　</w:t>
      </w:r>
      <w:r>
        <w:rPr>
          <w:color w:val="000000"/>
          <w:kern w:val="0"/>
          <w:sz w:val="24"/>
          <w:szCs w:val="24"/>
        </w:rPr>
        <w:t>　　</w:t>
      </w:r>
      <w:r>
        <w:rPr>
          <w:rFonts w:hint="default"/>
          <w:color w:val="000000"/>
          <w:kern w:val="0"/>
          <w:sz w:val="24"/>
          <w:szCs w:val="24"/>
        </w:rPr>
        <w:t>　　　填报时间：</w:t>
      </w:r>
      <w:r>
        <w:rPr>
          <w:color w:val="000000"/>
          <w:kern w:val="0"/>
          <w:sz w:val="24"/>
          <w:szCs w:val="24"/>
        </w:rPr>
        <w:t>　</w:t>
      </w:r>
      <w:r>
        <w:rPr>
          <w:rFonts w:hint="default"/>
          <w:color w:val="000000"/>
          <w:kern w:val="0"/>
          <w:sz w:val="24"/>
          <w:szCs w:val="24"/>
        </w:rPr>
        <w:t>　 年</w:t>
      </w:r>
      <w:r>
        <w:rPr>
          <w:color w:val="000000"/>
          <w:kern w:val="0"/>
          <w:sz w:val="24"/>
          <w:szCs w:val="24"/>
        </w:rPr>
        <w:t>　</w:t>
      </w:r>
      <w:r>
        <w:rPr>
          <w:rFonts w:hint="default"/>
          <w:color w:val="000000"/>
          <w:kern w:val="0"/>
          <w:sz w:val="24"/>
          <w:szCs w:val="24"/>
        </w:rPr>
        <w:t xml:space="preserve">   月</w:t>
      </w:r>
      <w:r>
        <w:rPr>
          <w:color w:val="000000"/>
          <w:kern w:val="0"/>
          <w:sz w:val="24"/>
          <w:szCs w:val="24"/>
        </w:rPr>
        <w:t>　</w:t>
      </w:r>
      <w:r>
        <w:rPr>
          <w:rFonts w:hint="default"/>
          <w:color w:val="000000"/>
          <w:kern w:val="0"/>
          <w:sz w:val="24"/>
          <w:szCs w:val="24"/>
        </w:rPr>
        <w:t xml:space="preserve">   日</w:t>
      </w:r>
    </w:p>
    <w:p>
      <w:pPr>
        <w:snapToGrid w:val="0"/>
        <w:rPr>
          <w:rFonts w:hint="default" w:eastAsia="方正黑体_GBK"/>
          <w:color w:val="000000"/>
        </w:rPr>
      </w:pPr>
      <w:r>
        <w:rPr>
          <w:rFonts w:hint="default"/>
          <w:color w:val="000000"/>
          <w:sz w:val="24"/>
          <w:szCs w:val="24"/>
        </w:rPr>
        <w:br w:type="page"/>
      </w:r>
      <w:r>
        <w:rPr>
          <w:rFonts w:ascii="方正黑体_GBK" w:hAnsi="方正黑体_GBK" w:eastAsia="方正黑体_GBK" w:cs="方正黑体_GBK"/>
          <w:color w:val="000000"/>
        </w:rPr>
        <w:t>附件2</w:t>
      </w:r>
    </w:p>
    <w:p>
      <w:pPr>
        <w:snapToGrid w:val="0"/>
        <w:spacing w:line="240" w:lineRule="atLeast"/>
        <w:jc w:val="center"/>
        <w:rPr>
          <w:rFonts w:hint="default" w:eastAsia="方正小标宋_GBK"/>
          <w:kern w:val="0"/>
          <w:sz w:val="44"/>
        </w:rPr>
      </w:pPr>
    </w:p>
    <w:p>
      <w:pPr>
        <w:tabs>
          <w:tab w:val="left" w:pos="1250"/>
          <w:tab w:val="center" w:pos="6721"/>
        </w:tabs>
        <w:snapToGrid w:val="0"/>
        <w:jc w:val="center"/>
        <w:rPr>
          <w:rFonts w:hint="default" w:ascii="方正小标宋_GBK" w:hAnsi="方正小标宋_GBK" w:eastAsia="方正小标宋_GBK" w:cs="方正小标宋_GBK"/>
          <w:kern w:val="0"/>
          <w:sz w:val="44"/>
        </w:rPr>
      </w:pPr>
      <w:r>
        <w:rPr>
          <w:rFonts w:ascii="方正小标宋_GBK" w:hAnsi="方正小标宋_GBK" w:eastAsia="方正小标宋_GBK" w:cs="方正小标宋_GBK"/>
          <w:kern w:val="0"/>
          <w:sz w:val="44"/>
        </w:rPr>
        <w:t>2022年重庆市因灾倒损住房恢复重建进度情况统计表</w:t>
      </w:r>
    </w:p>
    <w:tbl>
      <w:tblPr>
        <w:tblStyle w:val="12"/>
        <w:tblW w:w="14306" w:type="dxa"/>
        <w:jc w:val="center"/>
        <w:tblInd w:w="0" w:type="dxa"/>
        <w:tblLayout w:type="fixed"/>
        <w:tblCellMar>
          <w:top w:w="0" w:type="dxa"/>
          <w:left w:w="108" w:type="dxa"/>
          <w:bottom w:w="0" w:type="dxa"/>
          <w:right w:w="108" w:type="dxa"/>
        </w:tblCellMar>
      </w:tblPr>
      <w:tblGrid>
        <w:gridCol w:w="1067"/>
        <w:gridCol w:w="690"/>
        <w:gridCol w:w="705"/>
        <w:gridCol w:w="720"/>
        <w:gridCol w:w="720"/>
        <w:gridCol w:w="915"/>
        <w:gridCol w:w="675"/>
        <w:gridCol w:w="675"/>
        <w:gridCol w:w="915"/>
        <w:gridCol w:w="630"/>
        <w:gridCol w:w="645"/>
        <w:gridCol w:w="648"/>
        <w:gridCol w:w="700"/>
        <w:gridCol w:w="827"/>
        <w:gridCol w:w="734"/>
        <w:gridCol w:w="720"/>
        <w:gridCol w:w="720"/>
        <w:gridCol w:w="720"/>
        <w:gridCol w:w="880"/>
      </w:tblGrid>
      <w:tr>
        <w:tblPrEx>
          <w:tblLayout w:type="fixed"/>
          <w:tblCellMar>
            <w:top w:w="0" w:type="dxa"/>
            <w:left w:w="108" w:type="dxa"/>
            <w:bottom w:w="0" w:type="dxa"/>
            <w:right w:w="108" w:type="dxa"/>
          </w:tblCellMar>
        </w:tblPrEx>
        <w:trPr>
          <w:trHeight w:val="525" w:hRule="atLeast"/>
          <w:jc w:val="center"/>
        </w:trPr>
        <w:tc>
          <w:tcPr>
            <w:tcW w:w="14306" w:type="dxa"/>
            <w:gridSpan w:val="19"/>
            <w:tcBorders>
              <w:top w:val="nil"/>
              <w:left w:val="nil"/>
              <w:bottom w:val="nil"/>
              <w:right w:val="nil"/>
            </w:tcBorders>
            <w:vAlign w:val="center"/>
          </w:tcPr>
          <w:p>
            <w:pPr>
              <w:widowControl/>
              <w:spacing w:line="240" w:lineRule="atLeast"/>
              <w:jc w:val="right"/>
              <w:rPr>
                <w:rFonts w:hint="default" w:ascii="方正仿宋_GBK" w:hAnsi="方正仿宋_GBK" w:cs="方正仿宋_GBK"/>
                <w:kern w:val="0"/>
                <w:sz w:val="24"/>
                <w:szCs w:val="24"/>
              </w:rPr>
            </w:pPr>
            <w:r>
              <w:rPr>
                <w:rFonts w:ascii="方正仿宋_GBK" w:hAnsi="方正仿宋_GBK" w:cs="方正仿宋_GBK"/>
                <w:kern w:val="0"/>
                <w:sz w:val="24"/>
                <w:szCs w:val="24"/>
              </w:rPr>
              <w:t>单位：户、间、万元、%</w:t>
            </w:r>
          </w:p>
        </w:tc>
      </w:tr>
      <w:tr>
        <w:tblPrEx>
          <w:tblLayout w:type="fixed"/>
          <w:tblCellMar>
            <w:top w:w="0" w:type="dxa"/>
            <w:left w:w="108" w:type="dxa"/>
            <w:bottom w:w="0" w:type="dxa"/>
            <w:right w:w="108" w:type="dxa"/>
          </w:tblCellMar>
        </w:tblPrEx>
        <w:trPr>
          <w:trHeight w:val="525" w:hRule="atLeast"/>
          <w:jc w:val="center"/>
        </w:trPr>
        <w:tc>
          <w:tcPr>
            <w:tcW w:w="1067" w:type="dxa"/>
            <w:vMerge w:val="restart"/>
            <w:tcBorders>
              <w:top w:val="single" w:color="auto" w:sz="4" w:space="0"/>
              <w:left w:val="single" w:color="auto" w:sz="4" w:space="0"/>
              <w:bottom w:val="nil"/>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区县</w:t>
            </w:r>
          </w:p>
        </w:tc>
        <w:tc>
          <w:tcPr>
            <w:tcW w:w="6015" w:type="dxa"/>
            <w:gridSpan w:val="8"/>
            <w:tcBorders>
              <w:top w:val="single" w:color="auto" w:sz="4" w:space="0"/>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倒房和严重损房重建进度情况</w:t>
            </w:r>
          </w:p>
        </w:tc>
        <w:tc>
          <w:tcPr>
            <w:tcW w:w="3450" w:type="dxa"/>
            <w:gridSpan w:val="5"/>
            <w:tcBorders>
              <w:top w:val="single" w:color="auto" w:sz="4" w:space="0"/>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一般损房修复进度情况</w:t>
            </w:r>
          </w:p>
        </w:tc>
        <w:tc>
          <w:tcPr>
            <w:tcW w:w="3774" w:type="dxa"/>
            <w:gridSpan w:val="5"/>
            <w:tcBorders>
              <w:top w:val="single" w:color="auto" w:sz="4" w:space="0"/>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资金投入情况</w:t>
            </w:r>
          </w:p>
        </w:tc>
      </w:tr>
      <w:tr>
        <w:tblPrEx>
          <w:tblLayout w:type="fixed"/>
          <w:tblCellMar>
            <w:top w:w="0" w:type="dxa"/>
            <w:left w:w="108" w:type="dxa"/>
            <w:bottom w:w="0" w:type="dxa"/>
            <w:right w:w="108" w:type="dxa"/>
          </w:tblCellMar>
        </w:tblPrEx>
        <w:trPr>
          <w:trHeight w:val="525" w:hRule="atLeast"/>
          <w:jc w:val="center"/>
        </w:trPr>
        <w:tc>
          <w:tcPr>
            <w:tcW w:w="1067" w:type="dxa"/>
            <w:vMerge w:val="continue"/>
            <w:tcBorders>
              <w:top w:val="nil"/>
              <w:left w:val="single" w:color="auto" w:sz="4" w:space="0"/>
              <w:bottom w:val="nil"/>
              <w:right w:val="single" w:color="auto" w:sz="4" w:space="0"/>
            </w:tcBorders>
            <w:vAlign w:val="center"/>
          </w:tcPr>
          <w:p>
            <w:pPr>
              <w:widowControl/>
              <w:spacing w:line="240" w:lineRule="atLeast"/>
              <w:jc w:val="center"/>
              <w:rPr>
                <w:rFonts w:hint="default" w:ascii="方正黑体_GBK" w:hAnsi="方正黑体_GBK" w:eastAsia="方正黑体_GBK" w:cs="方正黑体_GBK"/>
                <w:b/>
                <w:kern w:val="0"/>
                <w:sz w:val="20"/>
              </w:rPr>
            </w:pPr>
          </w:p>
        </w:tc>
        <w:tc>
          <w:tcPr>
            <w:tcW w:w="1395"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需重建数量</w:t>
            </w:r>
          </w:p>
        </w:tc>
        <w:tc>
          <w:tcPr>
            <w:tcW w:w="2355" w:type="dxa"/>
            <w:gridSpan w:val="3"/>
            <w:tcBorders>
              <w:top w:val="single" w:color="auto" w:sz="4" w:space="0"/>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已开工</w:t>
            </w:r>
          </w:p>
        </w:tc>
        <w:tc>
          <w:tcPr>
            <w:tcW w:w="2265" w:type="dxa"/>
            <w:gridSpan w:val="3"/>
            <w:tcBorders>
              <w:top w:val="single" w:color="auto" w:sz="4" w:space="0"/>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已竣工</w:t>
            </w:r>
          </w:p>
        </w:tc>
        <w:tc>
          <w:tcPr>
            <w:tcW w:w="1275"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需修复数量</w:t>
            </w:r>
          </w:p>
        </w:tc>
        <w:tc>
          <w:tcPr>
            <w:tcW w:w="2175" w:type="dxa"/>
            <w:gridSpan w:val="3"/>
            <w:tcBorders>
              <w:top w:val="single" w:color="auto" w:sz="4" w:space="0"/>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已修复</w:t>
            </w:r>
          </w:p>
        </w:tc>
        <w:tc>
          <w:tcPr>
            <w:tcW w:w="734" w:type="dxa"/>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b/>
                <w:kern w:val="0"/>
                <w:sz w:val="20"/>
              </w:rPr>
              <w:t>合计</w:t>
            </w:r>
          </w:p>
        </w:tc>
        <w:tc>
          <w:tcPr>
            <w:tcW w:w="720" w:type="dxa"/>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中央财政</w:t>
            </w:r>
          </w:p>
        </w:tc>
        <w:tc>
          <w:tcPr>
            <w:tcW w:w="720" w:type="dxa"/>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市级财政</w:t>
            </w:r>
          </w:p>
        </w:tc>
        <w:tc>
          <w:tcPr>
            <w:tcW w:w="720" w:type="dxa"/>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区县财政</w:t>
            </w:r>
          </w:p>
        </w:tc>
        <w:tc>
          <w:tcPr>
            <w:tcW w:w="880" w:type="dxa"/>
            <w:vMerge w:val="restart"/>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其他</w:t>
            </w:r>
            <w:r>
              <w:rPr>
                <w:rFonts w:ascii="方正黑体_GBK" w:hAnsi="方正黑体_GBK" w:eastAsia="方正黑体_GBK" w:cs="方正黑体_GBK"/>
                <w:kern w:val="0"/>
                <w:sz w:val="20"/>
              </w:rPr>
              <w:br w:type="textWrapping"/>
            </w:r>
            <w:r>
              <w:rPr>
                <w:rFonts w:ascii="方正黑体_GBK" w:hAnsi="方正黑体_GBK" w:eastAsia="方正黑体_GBK" w:cs="方正黑体_GBK"/>
                <w:kern w:val="0"/>
                <w:sz w:val="20"/>
              </w:rPr>
              <w:t>（含救灾捐赠）</w:t>
            </w:r>
          </w:p>
        </w:tc>
      </w:tr>
      <w:tr>
        <w:tblPrEx>
          <w:tblLayout w:type="fixed"/>
          <w:tblCellMar>
            <w:top w:w="0" w:type="dxa"/>
            <w:left w:w="108" w:type="dxa"/>
            <w:bottom w:w="0" w:type="dxa"/>
            <w:right w:w="108" w:type="dxa"/>
          </w:tblCellMar>
        </w:tblPrEx>
        <w:trPr>
          <w:trHeight w:val="825" w:hRule="atLeast"/>
          <w:jc w:val="center"/>
        </w:trPr>
        <w:tc>
          <w:tcPr>
            <w:tcW w:w="1067"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b/>
                <w:kern w:val="0"/>
              </w:rPr>
            </w:pPr>
          </w:p>
        </w:tc>
        <w:tc>
          <w:tcPr>
            <w:tcW w:w="690"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户数</w:t>
            </w:r>
          </w:p>
        </w:tc>
        <w:tc>
          <w:tcPr>
            <w:tcW w:w="705"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间数</w:t>
            </w:r>
          </w:p>
        </w:tc>
        <w:tc>
          <w:tcPr>
            <w:tcW w:w="720"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户数</w:t>
            </w:r>
          </w:p>
        </w:tc>
        <w:tc>
          <w:tcPr>
            <w:tcW w:w="720"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间数</w:t>
            </w:r>
          </w:p>
        </w:tc>
        <w:tc>
          <w:tcPr>
            <w:tcW w:w="915" w:type="dxa"/>
            <w:tcBorders>
              <w:top w:val="nil"/>
              <w:left w:val="nil"/>
              <w:bottom w:val="single" w:color="auto" w:sz="4" w:space="0"/>
              <w:right w:val="single" w:color="auto" w:sz="4" w:space="0"/>
            </w:tcBorders>
            <w:vAlign w:val="center"/>
          </w:tcPr>
          <w:p>
            <w:pPr>
              <w:widowControl/>
              <w:spacing w:line="240" w:lineRule="atLeast"/>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开工率</w:t>
            </w:r>
          </w:p>
        </w:tc>
        <w:tc>
          <w:tcPr>
            <w:tcW w:w="675"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户数</w:t>
            </w:r>
          </w:p>
        </w:tc>
        <w:tc>
          <w:tcPr>
            <w:tcW w:w="675"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间数</w:t>
            </w:r>
          </w:p>
        </w:tc>
        <w:tc>
          <w:tcPr>
            <w:tcW w:w="915" w:type="dxa"/>
            <w:tcBorders>
              <w:top w:val="nil"/>
              <w:left w:val="nil"/>
              <w:bottom w:val="single" w:color="auto" w:sz="4" w:space="0"/>
              <w:right w:val="single" w:color="auto" w:sz="4" w:space="0"/>
            </w:tcBorders>
            <w:vAlign w:val="center"/>
          </w:tcPr>
          <w:p>
            <w:pPr>
              <w:widowControl/>
              <w:spacing w:line="240" w:lineRule="atLeast"/>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竣工率</w:t>
            </w:r>
          </w:p>
        </w:tc>
        <w:tc>
          <w:tcPr>
            <w:tcW w:w="630"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户数</w:t>
            </w:r>
          </w:p>
        </w:tc>
        <w:tc>
          <w:tcPr>
            <w:tcW w:w="645"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间数</w:t>
            </w:r>
          </w:p>
        </w:tc>
        <w:tc>
          <w:tcPr>
            <w:tcW w:w="648"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户数</w:t>
            </w:r>
          </w:p>
        </w:tc>
        <w:tc>
          <w:tcPr>
            <w:tcW w:w="700" w:type="dxa"/>
            <w:tcBorders>
              <w:top w:val="nil"/>
              <w:left w:val="nil"/>
              <w:bottom w:val="single" w:color="auto" w:sz="4" w:space="0"/>
              <w:right w:val="single" w:color="auto" w:sz="4" w:space="0"/>
            </w:tcBorders>
            <w:vAlign w:val="center"/>
          </w:tcPr>
          <w:p>
            <w:pPr>
              <w:widowControl/>
              <w:spacing w:line="240" w:lineRule="atLeast"/>
              <w:jc w:val="center"/>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间数</w:t>
            </w:r>
          </w:p>
        </w:tc>
        <w:tc>
          <w:tcPr>
            <w:tcW w:w="827" w:type="dxa"/>
            <w:tcBorders>
              <w:top w:val="nil"/>
              <w:left w:val="nil"/>
              <w:bottom w:val="single" w:color="auto" w:sz="4" w:space="0"/>
              <w:right w:val="single" w:color="auto" w:sz="4" w:space="0"/>
            </w:tcBorders>
            <w:vAlign w:val="center"/>
          </w:tcPr>
          <w:p>
            <w:pPr>
              <w:widowControl/>
              <w:spacing w:line="240" w:lineRule="atLeast"/>
              <w:rPr>
                <w:rFonts w:hint="default" w:ascii="方正黑体_GBK" w:hAnsi="方正黑体_GBK" w:eastAsia="方正黑体_GBK" w:cs="方正黑体_GBK"/>
                <w:kern w:val="0"/>
                <w:sz w:val="20"/>
              </w:rPr>
            </w:pPr>
            <w:r>
              <w:rPr>
                <w:rFonts w:ascii="方正黑体_GBK" w:hAnsi="方正黑体_GBK" w:eastAsia="方正黑体_GBK" w:cs="方正黑体_GBK"/>
                <w:kern w:val="0"/>
                <w:sz w:val="20"/>
              </w:rPr>
              <w:t>修复率</w:t>
            </w:r>
          </w:p>
        </w:tc>
        <w:tc>
          <w:tcPr>
            <w:tcW w:w="734"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kern w:val="0"/>
              </w:rPr>
            </w:pPr>
          </w:p>
        </w:tc>
        <w:tc>
          <w:tcPr>
            <w:tcW w:w="880" w:type="dxa"/>
            <w:vMerge w:val="continue"/>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kern w:val="0"/>
              </w:rPr>
            </w:pPr>
          </w:p>
        </w:tc>
      </w:tr>
      <w:tr>
        <w:tblPrEx>
          <w:tblLayout w:type="fixed"/>
          <w:tblCellMar>
            <w:top w:w="0" w:type="dxa"/>
            <w:left w:w="108" w:type="dxa"/>
            <w:bottom w:w="0" w:type="dxa"/>
            <w:right w:w="108" w:type="dxa"/>
          </w:tblCellMar>
        </w:tblPrEx>
        <w:trPr>
          <w:trHeight w:val="465" w:hRule="atLeast"/>
          <w:jc w:val="center"/>
        </w:trPr>
        <w:tc>
          <w:tcPr>
            <w:tcW w:w="1067"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kern w:val="0"/>
              </w:rPr>
            </w:pPr>
          </w:p>
        </w:tc>
        <w:tc>
          <w:tcPr>
            <w:tcW w:w="690"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05"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20"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20"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915"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675"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675"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915"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630"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645"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648"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00"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827"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34"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20"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20"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720"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c>
          <w:tcPr>
            <w:tcW w:w="880" w:type="dxa"/>
            <w:tcBorders>
              <w:top w:val="nil"/>
              <w:left w:val="nil"/>
              <w:bottom w:val="single" w:color="auto" w:sz="4" w:space="0"/>
              <w:right w:val="single" w:color="auto" w:sz="4" w:space="0"/>
            </w:tcBorders>
            <w:vAlign w:val="center"/>
          </w:tcPr>
          <w:p>
            <w:pPr>
              <w:widowControl/>
              <w:spacing w:line="240" w:lineRule="atLeast"/>
              <w:jc w:val="center"/>
              <w:rPr>
                <w:rFonts w:hint="default" w:ascii="宋体"/>
                <w:kern w:val="0"/>
              </w:rPr>
            </w:pPr>
          </w:p>
        </w:tc>
      </w:tr>
      <w:tr>
        <w:tblPrEx>
          <w:tblLayout w:type="fixed"/>
          <w:tblCellMar>
            <w:top w:w="0" w:type="dxa"/>
            <w:left w:w="108" w:type="dxa"/>
            <w:bottom w:w="0" w:type="dxa"/>
            <w:right w:w="108" w:type="dxa"/>
          </w:tblCellMar>
        </w:tblPrEx>
        <w:trPr>
          <w:trHeight w:val="1408" w:hRule="atLeast"/>
          <w:jc w:val="center"/>
        </w:trPr>
        <w:tc>
          <w:tcPr>
            <w:tcW w:w="14306" w:type="dxa"/>
            <w:gridSpan w:val="19"/>
            <w:tcBorders>
              <w:top w:val="nil"/>
              <w:left w:val="nil"/>
              <w:bottom w:val="nil"/>
              <w:right w:val="nil"/>
            </w:tcBorders>
          </w:tcPr>
          <w:p>
            <w:pPr>
              <w:widowControl/>
              <w:spacing w:line="240" w:lineRule="atLeast"/>
              <w:rPr>
                <w:rFonts w:hint="default"/>
                <w:kern w:val="0"/>
                <w:sz w:val="24"/>
                <w:szCs w:val="24"/>
              </w:rPr>
            </w:pPr>
            <w:r>
              <w:rPr>
                <w:rFonts w:hint="default"/>
                <w:kern w:val="0"/>
                <w:sz w:val="24"/>
                <w:szCs w:val="24"/>
              </w:rPr>
              <w:t>　　　　注：1. 开工率、竣工率、修复率均按户数计算；</w:t>
            </w:r>
            <w:r>
              <w:rPr>
                <w:rFonts w:hint="default"/>
                <w:kern w:val="0"/>
                <w:sz w:val="24"/>
                <w:szCs w:val="24"/>
              </w:rPr>
              <w:br w:type="textWrapping"/>
            </w:r>
            <w:r>
              <w:rPr>
                <w:rFonts w:hint="default"/>
                <w:kern w:val="0"/>
                <w:sz w:val="24"/>
                <w:szCs w:val="24"/>
              </w:rPr>
              <w:t>　　        2. 开工率是指已开工建设的户数占需重建户数的比例，竣工率是指已竣工的户数占需重建户数的比例。</w:t>
            </w:r>
          </w:p>
          <w:p>
            <w:pPr>
              <w:widowControl/>
              <w:spacing w:line="240" w:lineRule="atLeast"/>
              <w:rPr>
                <w:rFonts w:hint="default"/>
                <w:kern w:val="0"/>
                <w:sz w:val="24"/>
                <w:szCs w:val="24"/>
              </w:rPr>
            </w:pPr>
            <w:r>
              <w:rPr>
                <w:rFonts w:hint="default"/>
                <w:kern w:val="0"/>
                <w:sz w:val="24"/>
                <w:szCs w:val="24"/>
              </w:rPr>
              <w:t>　　        3. 此表从1</w:t>
            </w:r>
            <w:r>
              <w:rPr>
                <w:kern w:val="0"/>
                <w:sz w:val="24"/>
                <w:szCs w:val="24"/>
              </w:rPr>
              <w:t>1</w:t>
            </w:r>
            <w:r>
              <w:rPr>
                <w:rFonts w:hint="default"/>
                <w:kern w:val="0"/>
                <w:sz w:val="24"/>
                <w:szCs w:val="24"/>
              </w:rPr>
              <w:t>月起，每月15日、30日前</w:t>
            </w:r>
            <w:r>
              <w:rPr>
                <w:kern w:val="0"/>
                <w:sz w:val="24"/>
                <w:szCs w:val="24"/>
              </w:rPr>
              <w:t>均应上</w:t>
            </w:r>
            <w:r>
              <w:rPr>
                <w:rFonts w:hint="default"/>
                <w:kern w:val="0"/>
                <w:sz w:val="24"/>
                <w:szCs w:val="24"/>
              </w:rPr>
              <w:t>报</w:t>
            </w:r>
            <w:r>
              <w:rPr>
                <w:kern w:val="0"/>
                <w:sz w:val="24"/>
                <w:szCs w:val="24"/>
              </w:rPr>
              <w:t>一次</w:t>
            </w:r>
            <w:r>
              <w:rPr>
                <w:rFonts w:hint="default"/>
                <w:kern w:val="0"/>
                <w:sz w:val="24"/>
                <w:szCs w:val="24"/>
              </w:rPr>
              <w:t>市</w:t>
            </w:r>
            <w:r>
              <w:rPr>
                <w:kern w:val="0"/>
                <w:sz w:val="24"/>
                <w:szCs w:val="24"/>
              </w:rPr>
              <w:t>应急</w:t>
            </w:r>
            <w:r>
              <w:rPr>
                <w:rFonts w:hint="default"/>
                <w:kern w:val="0"/>
                <w:sz w:val="24"/>
                <w:szCs w:val="24"/>
              </w:rPr>
              <w:t>局救灾和物资保障处，直至重建任务全部完成。</w:t>
            </w:r>
          </w:p>
          <w:p>
            <w:pPr>
              <w:widowControl/>
              <w:spacing w:line="240" w:lineRule="atLeast"/>
              <w:rPr>
                <w:rFonts w:hint="default"/>
                <w:kern w:val="0"/>
                <w:sz w:val="24"/>
                <w:szCs w:val="24"/>
              </w:rPr>
            </w:pPr>
            <w:r>
              <w:rPr>
                <w:rFonts w:hint="default"/>
                <w:kern w:val="0"/>
                <w:sz w:val="24"/>
                <w:szCs w:val="24"/>
              </w:rPr>
              <w:t>　　　　　</w:t>
            </w:r>
            <w:r>
              <w:rPr>
                <w:kern w:val="0"/>
                <w:sz w:val="24"/>
                <w:szCs w:val="24"/>
              </w:rPr>
              <w:t>　</w:t>
            </w:r>
            <w:r>
              <w:rPr>
                <w:rFonts w:hint="default"/>
                <w:kern w:val="0"/>
                <w:sz w:val="24"/>
                <w:szCs w:val="24"/>
              </w:rPr>
              <w:t>　联系人：耿佃峰</w:t>
            </w:r>
            <w:r>
              <w:rPr>
                <w:kern w:val="0"/>
                <w:sz w:val="24"/>
                <w:szCs w:val="24"/>
              </w:rPr>
              <w:t>　　</w:t>
            </w:r>
            <w:r>
              <w:rPr>
                <w:rFonts w:hint="default"/>
                <w:kern w:val="0"/>
                <w:sz w:val="24"/>
                <w:szCs w:val="24"/>
              </w:rPr>
              <w:t>电话：63015768</w:t>
            </w:r>
          </w:p>
        </w:tc>
      </w:tr>
      <w:tr>
        <w:tblPrEx>
          <w:tblLayout w:type="fixed"/>
          <w:tblCellMar>
            <w:top w:w="0" w:type="dxa"/>
            <w:left w:w="108" w:type="dxa"/>
            <w:bottom w:w="0" w:type="dxa"/>
            <w:right w:w="108" w:type="dxa"/>
          </w:tblCellMar>
        </w:tblPrEx>
        <w:trPr>
          <w:trHeight w:val="630" w:hRule="atLeast"/>
          <w:jc w:val="center"/>
        </w:trPr>
        <w:tc>
          <w:tcPr>
            <w:tcW w:w="14306" w:type="dxa"/>
            <w:gridSpan w:val="19"/>
            <w:tcBorders>
              <w:top w:val="nil"/>
              <w:left w:val="nil"/>
              <w:bottom w:val="nil"/>
              <w:right w:val="nil"/>
            </w:tcBorders>
          </w:tcPr>
          <w:p>
            <w:pPr>
              <w:widowControl/>
              <w:spacing w:line="240" w:lineRule="atLeast"/>
              <w:rPr>
                <w:rFonts w:hint="default"/>
                <w:kern w:val="0"/>
                <w:sz w:val="24"/>
                <w:szCs w:val="24"/>
              </w:rPr>
            </w:pPr>
            <w:r>
              <w:rPr>
                <w:rFonts w:hint="default"/>
                <w:kern w:val="0"/>
                <w:sz w:val="24"/>
                <w:szCs w:val="24"/>
              </w:rPr>
              <w:t xml:space="preserve">           </w:t>
            </w:r>
            <w:r>
              <w:rPr>
                <w:kern w:val="0"/>
                <w:sz w:val="24"/>
                <w:szCs w:val="24"/>
              </w:rPr>
              <w:t>　</w:t>
            </w:r>
            <w:r>
              <w:rPr>
                <w:rFonts w:hint="default"/>
                <w:kern w:val="0"/>
                <w:sz w:val="24"/>
                <w:szCs w:val="24"/>
              </w:rPr>
              <w:t xml:space="preserve">单位负责人：　　　　　　　　填报人：　　　　　　   　联系电话：        </w:t>
            </w:r>
            <w:r>
              <w:rPr>
                <w:kern w:val="0"/>
                <w:sz w:val="24"/>
                <w:szCs w:val="24"/>
              </w:rPr>
              <w:t>　</w:t>
            </w:r>
            <w:r>
              <w:rPr>
                <w:rFonts w:hint="default"/>
                <w:kern w:val="0"/>
                <w:sz w:val="24"/>
                <w:szCs w:val="24"/>
              </w:rPr>
              <w:t xml:space="preserve"> 　填报日期：　 　年　　月　　日</w:t>
            </w:r>
          </w:p>
        </w:tc>
      </w:tr>
    </w:tbl>
    <w:p>
      <w:pPr>
        <w:snapToGrid w:val="0"/>
        <w:ind w:right="15"/>
        <w:rPr>
          <w:rFonts w:hint="default" w:ascii="宋体" w:hAnsi="宋体"/>
          <w:kern w:val="0"/>
        </w:rPr>
        <w:sectPr>
          <w:headerReference r:id="rId6" w:type="default"/>
          <w:footerReference r:id="rId8" w:type="default"/>
          <w:headerReference r:id="rId7" w:type="even"/>
          <w:footerReference r:id="rId9" w:type="even"/>
          <w:pgSz w:w="16838" w:h="11906" w:orient="landscape"/>
          <w:pgMar w:top="1531" w:right="2098" w:bottom="1531" w:left="1417" w:header="851" w:footer="1474" w:gutter="0"/>
          <w:pgNumType w:fmt="numberInDash"/>
          <w:cols w:space="720" w:num="1"/>
          <w:docGrid w:type="lines" w:linePitch="315" w:charSpace="0"/>
        </w:sectPr>
      </w:pPr>
    </w:p>
    <w:p>
      <w:pPr>
        <w:pStyle w:val="20"/>
        <w:rPr>
          <w:rFonts w:hint="default"/>
        </w:rPr>
      </w:pPr>
    </w:p>
    <w:p>
      <w:pPr>
        <w:pStyle w:val="3"/>
        <w:rPr>
          <w:rFonts w:hint="default"/>
        </w:rPr>
      </w:pPr>
    </w:p>
    <w:p>
      <w:pPr>
        <w:rPr>
          <w:rFonts w:hint="default"/>
        </w:rPr>
      </w:pPr>
    </w:p>
    <w:p>
      <w:pPr>
        <w:pStyle w:val="20"/>
        <w:rPr>
          <w:rFonts w:hint="default"/>
        </w:rPr>
      </w:pPr>
    </w:p>
    <w:p>
      <w:pPr>
        <w:pStyle w:val="3"/>
        <w:rPr>
          <w:rFonts w:hint="default"/>
        </w:rPr>
      </w:pPr>
    </w:p>
    <w:p>
      <w:pPr>
        <w:rPr>
          <w:rFonts w:hint="default"/>
        </w:rPr>
      </w:pPr>
    </w:p>
    <w:p>
      <w:pPr>
        <w:pStyle w:val="20"/>
        <w:rPr>
          <w:rFonts w:hint="default"/>
        </w:rPr>
      </w:pPr>
    </w:p>
    <w:p>
      <w:pPr>
        <w:pStyle w:val="3"/>
        <w:rPr>
          <w:rFonts w:hint="default"/>
        </w:rPr>
      </w:pPr>
    </w:p>
    <w:p>
      <w:pPr>
        <w:rPr>
          <w:rFonts w:hint="default"/>
        </w:rPr>
      </w:pPr>
    </w:p>
    <w:p>
      <w:pPr>
        <w:pStyle w:val="20"/>
        <w:rPr>
          <w:rFonts w:hint="default"/>
        </w:rPr>
      </w:pPr>
    </w:p>
    <w:p>
      <w:pPr>
        <w:pStyle w:val="3"/>
        <w:rPr>
          <w:rFonts w:hint="default"/>
        </w:rPr>
      </w:pPr>
    </w:p>
    <w:p>
      <w:pPr>
        <w:rPr>
          <w:rFonts w:hint="default"/>
        </w:rPr>
      </w:pPr>
    </w:p>
    <w:p>
      <w:pPr>
        <w:pStyle w:val="20"/>
        <w:rPr>
          <w:rFonts w:hint="default"/>
        </w:rPr>
      </w:pPr>
    </w:p>
    <w:p>
      <w:pPr>
        <w:pStyle w:val="20"/>
        <w:rPr>
          <w:rFonts w:hint="default"/>
        </w:rPr>
      </w:pPr>
    </w:p>
    <w:p>
      <w:pPr>
        <w:pStyle w:val="20"/>
        <w:rPr>
          <w:rFonts w:hint="default"/>
        </w:rPr>
      </w:pPr>
    </w:p>
    <w:p>
      <w:pPr>
        <w:pStyle w:val="20"/>
        <w:rPr>
          <w:rFonts w:hint="default"/>
        </w:rPr>
      </w:pPr>
    </w:p>
    <w:p>
      <w:pPr>
        <w:pStyle w:val="3"/>
        <w:rPr>
          <w:rFonts w:hint="default"/>
        </w:rPr>
      </w:pPr>
    </w:p>
    <w:p>
      <w:pPr>
        <w:rPr>
          <w:rFonts w:hint="default"/>
        </w:rPr>
      </w:pPr>
    </w:p>
    <w:p>
      <w:pPr>
        <w:rPr>
          <w:rFonts w:hint="default" w:ascii="Times New Roman" w:hAnsi="Times New Roman" w:eastAsia="方正仿宋_GBK" w:cs="Times New Roman"/>
          <w:kern w:val="2"/>
          <w:sz w:val="32"/>
          <w:lang w:val="en-US" w:eastAsia="zh-CN" w:bidi="ar-SA"/>
        </w:rPr>
      </w:pPr>
    </w:p>
    <w:p>
      <w:pPr>
        <w:rPr>
          <w:rFonts w:hint="default"/>
          <w:lang w:val="en-US" w:eastAsia="zh-CN"/>
        </w:rPr>
      </w:pPr>
    </w:p>
    <w:p>
      <w:pPr>
        <w:rPr>
          <w:rFonts w:hint="default"/>
          <w:lang w:val="en-US" w:eastAsia="zh-CN"/>
        </w:rPr>
      </w:pPr>
    </w:p>
    <w:p>
      <w:pPr>
        <w:rPr>
          <w:rFonts w:hint="default"/>
          <w:lang w:val="en-US" w:eastAsia="zh-CN"/>
        </w:rPr>
      </w:pPr>
    </w:p>
    <w:p>
      <w:pPr>
        <w:pBdr>
          <w:top w:val="single" w:color="auto" w:sz="4" w:space="0"/>
          <w:bottom w:val="single" w:color="auto" w:sz="4" w:space="0"/>
        </w:pBdr>
        <w:tabs>
          <w:tab w:val="left" w:pos="766"/>
        </w:tabs>
        <w:ind w:firstLine="632" w:firstLineChars="200"/>
        <w:jc w:val="left"/>
        <w:rPr>
          <w:rFonts w:hint="eastAsia" w:eastAsia="方正仿宋_GBK"/>
          <w:lang w:val="en-US" w:eastAsia="zh-CN"/>
        </w:rPr>
      </w:pPr>
      <w:r>
        <w:rPr>
          <w:rFonts w:hint="eastAsia" w:ascii="方正仿宋_GBK" w:hAnsi="方正仿宋_GBK" w:eastAsia="方正仿宋_GBK" w:cs="方正仿宋_GBK"/>
          <w:szCs w:val="32"/>
        </w:rPr>
        <w:t>重庆市巴南区减灾委员会办公室</w:t>
      </w:r>
      <w:r>
        <w:rPr>
          <w:rFonts w:hint="eastAsia" w:ascii="方正仿宋_GBK" w:hAnsi="方正仿宋_GBK" w:cs="方正仿宋_GBK"/>
          <w:szCs w:val="32"/>
          <w:lang w:val="en-US" w:eastAsia="zh-CN"/>
        </w:rPr>
        <w:t xml:space="preserve">   2022年9月26日印发</w:t>
      </w:r>
    </w:p>
    <w:sectPr>
      <w:footerReference r:id="rId10" w:type="default"/>
      <w:footerReference r:id="rId11" w:type="even"/>
      <w:pgSz w:w="11906" w:h="16838"/>
      <w:pgMar w:top="2098" w:right="1474" w:bottom="1984" w:left="1587" w:header="851" w:footer="1474"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041"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CilmbIAQAAbg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042"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gRxzyQEAAG4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977"/>
      </w:tabs>
      <w:ind w:right="360"/>
      <w:rPr>
        <w:rFonts w:hint="default"/>
        <w:sz w:val="28"/>
      </w:rPr>
    </w:pPr>
    <w:r>
      <w:rPr>
        <w:sz w:val="2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043"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Va63ZMcBAABuAwAADgAAAAAAAAABACAAAAAeAQAAZHJzL2Uyb0RvYy54&#10;bWxQSwUGAAAAAAYABgBZAQAAVwUAAAAA&#10;">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sz w:val="28"/>
      </w:rPr>
      <mc:AlternateContent>
        <mc:Choice Requires="wps">
          <w:drawing>
            <wp:anchor distT="0" distB="0" distL="114300" distR="114300" simplePos="0" relativeHeight="251670528" behindDoc="0" locked="0" layoutInCell="1" allowOverlap="1">
              <wp:simplePos x="0" y="0"/>
              <wp:positionH relativeFrom="column">
                <wp:posOffset>-796925</wp:posOffset>
              </wp:positionH>
              <wp:positionV relativeFrom="paragraph">
                <wp:posOffset>-1299210</wp:posOffset>
              </wp:positionV>
              <wp:extent cx="685800" cy="1543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5800" cy="1543050"/>
                      </a:xfrm>
                      <a:prstGeom prst="rect">
                        <a:avLst/>
                      </a:prstGeom>
                      <a:noFill/>
                      <a:ln w="9525">
                        <a:noFill/>
                      </a:ln>
                    </wps:spPr>
                    <wps:txbx>
                      <w:txbxContent>
                        <w:p>
                          <w:pPr>
                            <w:rPr>
                              <w:rFonts w:hint="default"/>
                            </w:rPr>
                          </w:pPr>
                        </w:p>
                      </w:txbxContent>
                    </wps:txbx>
                    <wps:bodyPr vert="eaVert" upright="1"/>
                  </wps:wsp>
                </a:graphicData>
              </a:graphic>
            </wp:anchor>
          </w:drawing>
        </mc:Choice>
        <mc:Fallback>
          <w:pict>
            <v:shape id="_x0000_s1026" o:spid="_x0000_s1026" o:spt="202" type="#_x0000_t202" style="position:absolute;left:0pt;margin-left:-62.75pt;margin-top:-102.3pt;height:121.5pt;width:54pt;z-index:251670528;mso-width-relative:page;mso-height-relative:page;" filled="f" stroked="f" coordsize="21600,21600" o:gfxdata="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yePvc3QAAAAwBAAAP&#10;AAAAAAAAAAEAIAAAACIAAABkcnMvZG93bnJldi54bWxQSwECFAAUAAAACACHTuJA+KniNaEBAAAX&#10;AwAADgAAAAAAAAABACAAAAAsAQAAZHJzL2Uyb0RvYy54bWxQSwUGAAAAAAYABgBZAQAAPwUAAAAA&#10;">
              <v:fill on="f" focussize="0,0"/>
              <v:stroke on="f"/>
              <v:imagedata o:title=""/>
              <o:lock v:ext="edit" aspectratio="f"/>
              <v:textbox style="layout-flow:vertical-ideographic;">
                <w:txbxContent>
                  <w:p>
                    <w:pPr>
                      <w:rPr>
                        <w:rFonts w:hint="default"/>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default"/>
        <w:sz w:val="28"/>
      </w:rPr>
    </w:pPr>
    <w:r>
      <w:rPr>
        <w:sz w:val="2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044"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AwkS/IAQAAbg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方正仿宋_GBK"/>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977"/>
      </w:tabs>
      <w:ind w:right="360"/>
      <w:rPr>
        <w:rFonts w:hint="default"/>
        <w:sz w:val="28"/>
      </w:rPr>
    </w:pPr>
    <w:r>
      <w:rPr>
        <w:rFonts w:hint="default"/>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default"/>
                              <w:sz w:val="1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- 9 -</w:t>
                          </w:r>
                          <w:r>
                            <w:rPr>
                              <w:rFonts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MqOaPvAEAAGMDAAAOAAAAAAAAAAEAIAAAACIBAABkcnMvZTJvRG9jLnhtbFBLBQYA&#10;AAAABgAGAFkBAABQBQAAAAA=&#10;">
              <v:fill on="f" focussize="0,0"/>
              <v:stroke on="f" weight="1.25pt"/>
              <v:imagedata o:title=""/>
              <o:lock v:ext="edit" aspectratio="f"/>
              <v:textbox inset="0mm,0mm,0mm,0mm" style="mso-fit-shape-to-text:t;">
                <w:txbxContent>
                  <w:p>
                    <w:pPr>
                      <w:snapToGrid w:val="0"/>
                      <w:rPr>
                        <w:rFonts w:hint="default"/>
                        <w:sz w:val="1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hint="default" w:ascii="宋体" w:hAnsi="宋体" w:eastAsia="宋体" w:cs="宋体"/>
                        <w:sz w:val="28"/>
                        <w:szCs w:val="28"/>
                      </w:rPr>
                      <w:t>- 9 -</w:t>
                    </w:r>
                    <w:r>
                      <w:rPr>
                        <w:rFonts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default"/>
        <w:sz w:val="28"/>
      </w:rPr>
    </w:pPr>
    <w:r>
      <w:rPr>
        <w:rFonts w:hint="default"/>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rPr>
                              <w:rFonts w:hint="default"/>
                              <w:sz w:val="18"/>
                            </w:rPr>
                            <w:t>- 10 -</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CAs1D1vAEAAGMDAAAOAAAAAAAAAAEAIAAAACIBAABkcnMvZTJvRG9jLnhtbFBLBQYA&#10;AAAABgAGAFkBAABQBQAAAAA=&#10;">
              <v:fill on="f" focussize="0,0"/>
              <v:stroke on="f" weight="1.25pt"/>
              <v:imagedata o:title=""/>
              <o:lock v:ext="edit" aspectratio="f"/>
              <v:textbox inset="0mm,0mm,0mm,0mm"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rPr>
                        <w:rFonts w:hint="default"/>
                        <w:sz w:val="18"/>
                      </w:rPr>
                      <w:t>- 10 -</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r>
      <w:rPr>
        <w:rFonts w:hint="default"/>
      </w:rPr>
      <mc:AlternateContent>
        <mc:Choice Requires="wps">
          <w:drawing>
            <wp:anchor distT="0" distB="0" distL="114300" distR="114300" simplePos="0" relativeHeight="251669504" behindDoc="0" locked="0" layoutInCell="1" allowOverlap="1">
              <wp:simplePos x="0" y="0"/>
              <wp:positionH relativeFrom="column">
                <wp:posOffset>-673100</wp:posOffset>
              </wp:positionH>
              <wp:positionV relativeFrom="paragraph">
                <wp:posOffset>122555</wp:posOffset>
              </wp:positionV>
              <wp:extent cx="514350" cy="1371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4350" cy="1371600"/>
                      </a:xfrm>
                      <a:prstGeom prst="rect">
                        <a:avLst/>
                      </a:prstGeom>
                      <a:noFill/>
                      <a:ln w="9525">
                        <a:noFill/>
                      </a:ln>
                    </wps:spPr>
                    <wps:txbx>
                      <w:txbxContent>
                        <w:p>
                          <w:pPr>
                            <w:rPr>
                              <w:rFonts w:hint="default"/>
                            </w:rPr>
                          </w:pPr>
                        </w:p>
                      </w:txbxContent>
                    </wps:txbx>
                    <wps:bodyPr vert="eaVert" upright="1"/>
                  </wps:wsp>
                </a:graphicData>
              </a:graphic>
            </wp:anchor>
          </w:drawing>
        </mc:Choice>
        <mc:Fallback>
          <w:pict>
            <v:shape id="_x0000_s1026" o:spid="_x0000_s1026" o:spt="202" type="#_x0000_t202" style="position:absolute;left:0pt;margin-left:-53pt;margin-top:9.65pt;height:108pt;width:40.5pt;z-index:251669504;mso-width-relative:page;mso-height-relative:page;" filled="f" stroked="f" coordsize="21600,21600" o:gfxdata="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liJsPcAAAACwEAAA8A&#10;AAAAAAAAAQAgAAAAIgAAAGRycy9kb3ducmV2LnhtbFBLAQIUABQAAAAIAIdO4kDPxBeUoQEAABcD&#10;AAAOAAAAAAAAAAEAIAAAACsBAABkcnMvZTJvRG9jLnhtbFBLBQYAAAAABgAGAFkBAAA+BQAAAAA=&#10;">
              <v:fill on="f" focussize="0,0"/>
              <v:stroke on="f"/>
              <v:imagedata o:title=""/>
              <o:lock v:ext="edit" aspectratio="f"/>
              <v:textbox style="layout-flow:vertical-ideographic;">
                <w:txbxContent>
                  <w:p>
                    <w:pPr>
                      <w:rPr>
                        <w:rFonts w:hint="default"/>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77017"/>
    <w:multiLevelType w:val="singleLevel"/>
    <w:tmpl w:val="5B977017"/>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5"/>
  <w:evenAndOddHeaders w:val="1"/>
  <w:drawingGridHorizontalSpacing w:val="0"/>
  <w:drawingGridVerticalSpacing w:val="290"/>
  <w:noPunctuationKerning w:val="1"/>
  <w:characterSpacingControl w:val="compressPunctuation"/>
  <w:doNotValidateAgainstSchema/>
  <w:doNotDemarcateInvalidXml/>
  <w:hdrShapeDefaults>
    <o:shapelayout v:ext="edit">
      <o:idmap v:ext="edit" data="1,5"/>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210"/>
    <w:rsid w:val="00172A27"/>
    <w:rsid w:val="002F24FE"/>
    <w:rsid w:val="004A4C01"/>
    <w:rsid w:val="004D7C72"/>
    <w:rsid w:val="004F5D4B"/>
    <w:rsid w:val="005608A7"/>
    <w:rsid w:val="007319E8"/>
    <w:rsid w:val="007E1A1C"/>
    <w:rsid w:val="0093324C"/>
    <w:rsid w:val="00AA00FF"/>
    <w:rsid w:val="00AA231A"/>
    <w:rsid w:val="00C224CF"/>
    <w:rsid w:val="00DA1DE2"/>
    <w:rsid w:val="00E155DA"/>
    <w:rsid w:val="00FC734D"/>
    <w:rsid w:val="00FE650D"/>
    <w:rsid w:val="32097673"/>
    <w:rsid w:val="36E12096"/>
    <w:rsid w:val="52CF031C"/>
    <w:rsid w:val="7F581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0"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0"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方正仿宋_GBK" w:cs="Times New Roman"/>
      <w:kern w:val="2"/>
      <w:sz w:val="32"/>
      <w:lang w:val="en-US" w:eastAsia="zh-CN" w:bidi="ar-SA"/>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qFormat/>
    <w:uiPriority w:val="0"/>
    <w:pPr>
      <w:snapToGrid w:val="0"/>
      <w:spacing w:line="0" w:lineRule="atLeast"/>
    </w:pPr>
    <w:rPr>
      <w:rFonts w:ascii="方正仿宋_GBK"/>
      <w:snapToGrid w:val="0"/>
      <w:spacing w:val="-20"/>
      <w:sz w:val="28"/>
    </w:rPr>
  </w:style>
  <w:style w:type="paragraph" w:styleId="4">
    <w:name w:val="Plain Text"/>
    <w:basedOn w:val="1"/>
    <w:qFormat/>
    <w:uiPriority w:val="0"/>
    <w:rPr>
      <w:rFonts w:ascii="宋体" w:hAnsi="Courier New"/>
      <w:kern w:val="0"/>
      <w:sz w:val="20"/>
      <w:szCs w:val="21"/>
    </w:rPr>
  </w:style>
  <w:style w:type="paragraph" w:styleId="5">
    <w:name w:val="Balloon Text"/>
    <w:basedOn w:val="1"/>
    <w:link w:val="15"/>
    <w:unhideWhenUsed/>
    <w:qFormat/>
    <w:uiPriority w:val="99"/>
    <w:rPr>
      <w:sz w:val="18"/>
    </w:rPr>
  </w:style>
  <w:style w:type="paragraph" w:styleId="6">
    <w:name w:val="footer"/>
    <w:basedOn w:val="1"/>
    <w:link w:val="16"/>
    <w:unhideWhenUsed/>
    <w:qFormat/>
    <w:uiPriority w:val="99"/>
    <w:pPr>
      <w:tabs>
        <w:tab w:val="center" w:pos="4153"/>
        <w:tab w:val="right" w:pos="8306"/>
      </w:tabs>
      <w:snapToGrid w:val="0"/>
      <w:jc w:val="left"/>
    </w:pPr>
    <w:rPr>
      <w:sz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character" w:styleId="10">
    <w:name w:val="page number"/>
    <w:basedOn w:val="9"/>
    <w:unhideWhenUsed/>
    <w:qFormat/>
    <w:uiPriority w:val="99"/>
    <w:rPr>
      <w:rFonts w:hint="default" w:ascii="Times New Roman" w:hAnsi="Times New Roman" w:eastAsia="宋体"/>
      <w:sz w:val="24"/>
    </w:rPr>
  </w:style>
  <w:style w:type="character" w:styleId="11">
    <w:name w:val="Hyperlink"/>
    <w:basedOn w:val="9"/>
    <w:qFormat/>
    <w:uiPriority w:val="99"/>
    <w:rPr>
      <w:color w:val="0000FF"/>
      <w:u w:val="single"/>
    </w:rPr>
  </w:style>
  <w:style w:type="character" w:customStyle="1" w:styleId="13">
    <w:name w:val="font11"/>
    <w:basedOn w:val="9"/>
    <w:qFormat/>
    <w:uiPriority w:val="0"/>
    <w:rPr>
      <w:rFonts w:ascii="方正黑体_GBK" w:hAnsi="方正黑体_GBK" w:eastAsia="方正黑体_GBK" w:cs="方正黑体_GBK"/>
      <w:color w:val="000000"/>
      <w:sz w:val="21"/>
      <w:szCs w:val="21"/>
      <w:u w:val="none"/>
    </w:rPr>
  </w:style>
  <w:style w:type="character" w:customStyle="1" w:styleId="14">
    <w:name w:val="font21"/>
    <w:basedOn w:val="9"/>
    <w:qFormat/>
    <w:uiPriority w:val="0"/>
    <w:rPr>
      <w:rFonts w:hint="eastAsia" w:ascii="宋体" w:hAnsi="宋体" w:eastAsia="宋体" w:cs="宋体"/>
      <w:color w:val="000000"/>
      <w:sz w:val="21"/>
      <w:szCs w:val="21"/>
      <w:u w:val="none"/>
    </w:rPr>
  </w:style>
  <w:style w:type="character" w:customStyle="1" w:styleId="15">
    <w:name w:val="批注框文本 Char"/>
    <w:basedOn w:val="9"/>
    <w:link w:val="5"/>
    <w:unhideWhenUsed/>
    <w:qFormat/>
    <w:locked/>
    <w:uiPriority w:val="99"/>
    <w:rPr>
      <w:rFonts w:hint="default" w:ascii="Times New Roman" w:hAnsi="Times New Roman" w:eastAsia="宋体"/>
      <w:kern w:val="2"/>
      <w:sz w:val="18"/>
    </w:rPr>
  </w:style>
  <w:style w:type="character" w:customStyle="1" w:styleId="16">
    <w:name w:val="页脚 Char"/>
    <w:basedOn w:val="9"/>
    <w:link w:val="6"/>
    <w:unhideWhenUsed/>
    <w:qFormat/>
    <w:locked/>
    <w:uiPriority w:val="99"/>
    <w:rPr>
      <w:rFonts w:hint="default" w:ascii="Times New Roman" w:hAnsi="Times New Roman" w:eastAsia="宋体"/>
      <w:kern w:val="2"/>
      <w:sz w:val="18"/>
    </w:rPr>
  </w:style>
  <w:style w:type="character" w:customStyle="1" w:styleId="17">
    <w:name w:val="页眉 Char"/>
    <w:basedOn w:val="9"/>
    <w:link w:val="7"/>
    <w:qFormat/>
    <w:uiPriority w:val="99"/>
    <w:rPr>
      <w:kern w:val="2"/>
      <w:sz w:val="18"/>
      <w:szCs w:val="18"/>
    </w:rPr>
  </w:style>
  <w:style w:type="paragraph" w:customStyle="1" w:styleId="1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9">
    <w:name w:val="默认"/>
    <w:qFormat/>
    <w:uiPriority w:val="0"/>
    <w:rPr>
      <w:rFonts w:ascii="Helvetica" w:hAnsi="Helvetica" w:eastAsia="Helvetica" w:cs="Helvetica"/>
      <w:color w:val="000000"/>
      <w:sz w:val="22"/>
      <w:szCs w:val="22"/>
      <w:lang w:val="en-US" w:eastAsia="zh-CN" w:bidi="ar-SA"/>
    </w:rPr>
  </w:style>
  <w:style w:type="paragraph" w:customStyle="1" w:styleId="20">
    <w:name w:val="PlainText"/>
    <w:basedOn w:val="1"/>
    <w:qFormat/>
    <w:uiPriority w:val="0"/>
    <w:pPr>
      <w:textAlignment w:val="baseline"/>
    </w:pPr>
    <w:rPr>
      <w:rFonts w:ascii="宋体" w:hAnsi="Courier New"/>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9</Pages>
  <Words>581</Words>
  <Characters>3316</Characters>
  <Lines>27</Lines>
  <Paragraphs>7</Paragraphs>
  <TotalTime>0</TotalTime>
  <ScaleCrop>false</ScaleCrop>
  <LinksUpToDate>false</LinksUpToDate>
  <CharactersWithSpaces>3890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2021-09-23T01:42:00Z</dcterms:created>
  <dc:creator>耿佃峰</dc:creator>
  <cp:lastModifiedBy>　外瑆λ °</cp:lastModifiedBy>
  <cp:lastPrinted>2022-09-23T06:09:00Z</cp:lastPrinted>
  <dcterms:modified xsi:type="dcterms:W3CDTF">2022-09-27T01:54:59Z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