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jc w:val="center"/>
        <w:textAlignment w:val="auto"/>
        <w:outlineLvl w:val="9"/>
        <w:rPr>
          <w:rFonts w:hint="default" w:ascii="Times New Roman" w:hAnsi="Times New Roman" w:eastAsia="方正小标宋_GBK" w:cs="Times New Roman"/>
          <w:snapToGrid w:val="0"/>
          <w:spacing w:val="0"/>
          <w:w w:val="100"/>
          <w:kern w:val="0"/>
          <w:position w:val="0"/>
          <w:sz w:val="44"/>
          <w:szCs w:val="44"/>
        </w:rPr>
      </w:pPr>
    </w:p>
    <w:p>
      <w:pPr>
        <w:keepNext w:val="0"/>
        <w:keepLines w:val="0"/>
        <w:pageBreakBefore w:val="0"/>
        <w:widowControl w:val="0"/>
        <w:kinsoku/>
        <w:wordWrap/>
        <w:overflowPunct/>
        <w:topLinePunct w:val="0"/>
        <w:autoSpaceDE/>
        <w:autoSpaceDN/>
        <w:bidi w:val="0"/>
        <w:adjustRightInd/>
        <w:spacing w:line="560" w:lineRule="exact"/>
        <w:ind w:left="0" w:leftChars="0" w:right="0"/>
        <w:jc w:val="center"/>
        <w:textAlignment w:val="auto"/>
        <w:outlineLvl w:val="9"/>
        <w:rPr>
          <w:rFonts w:hint="default" w:ascii="Times New Roman" w:hAnsi="Times New Roman" w:eastAsia="方正小标宋_GBK" w:cs="Times New Roman"/>
          <w:snapToGrid w:val="0"/>
          <w:spacing w:val="0"/>
          <w:w w:val="100"/>
          <w:kern w:val="0"/>
          <w:position w:val="0"/>
          <w:sz w:val="44"/>
          <w:szCs w:val="44"/>
        </w:rPr>
      </w:pPr>
    </w:p>
    <w:p>
      <w:pPr>
        <w:keepNext w:val="0"/>
        <w:keepLines w:val="0"/>
        <w:pageBreakBefore w:val="0"/>
        <w:widowControl w:val="0"/>
        <w:kinsoku/>
        <w:wordWrap/>
        <w:overflowPunct/>
        <w:topLinePunct w:val="0"/>
        <w:autoSpaceDE/>
        <w:autoSpaceDN/>
        <w:bidi w:val="0"/>
        <w:adjustRightInd/>
        <w:spacing w:line="560" w:lineRule="exact"/>
        <w:ind w:left="0" w:leftChars="0" w:right="0"/>
        <w:jc w:val="center"/>
        <w:textAlignment w:val="auto"/>
        <w:outlineLvl w:val="9"/>
        <w:rPr>
          <w:rFonts w:hint="default" w:ascii="Times New Roman" w:hAnsi="Times New Roman" w:eastAsia="方正小标宋_GBK" w:cs="Times New Roman"/>
          <w:snapToGrid w:val="0"/>
          <w:spacing w:val="0"/>
          <w:w w:val="100"/>
          <w:kern w:val="0"/>
          <w:position w:val="0"/>
          <w:sz w:val="44"/>
          <w:szCs w:val="44"/>
        </w:rPr>
      </w:pPr>
      <w:r>
        <w:rPr>
          <w:rFonts w:hint="default" w:ascii="Times New Roman" w:hAnsi="Times New Roman" w:eastAsia="方正小标宋_GBK" w:cs="Times New Roman"/>
          <w:snapToGrid w:val="0"/>
          <w:spacing w:val="0"/>
          <w:w w:val="100"/>
          <w:kern w:val="0"/>
          <w:position w:val="0"/>
          <w:sz w:val="44"/>
          <w:szCs w:val="44"/>
        </w:rPr>
        <w:t>重庆市巴</w:t>
      </w:r>
      <w:bookmarkStart w:id="69" w:name="_GoBack"/>
      <w:bookmarkEnd w:id="69"/>
      <w:r>
        <w:rPr>
          <w:rFonts w:hint="default" w:ascii="Times New Roman" w:hAnsi="Times New Roman" w:eastAsia="方正小标宋_GBK" w:cs="Times New Roman"/>
          <w:snapToGrid w:val="0"/>
          <w:spacing w:val="0"/>
          <w:w w:val="100"/>
          <w:kern w:val="0"/>
          <w:position w:val="0"/>
          <w:sz w:val="44"/>
          <w:szCs w:val="44"/>
        </w:rPr>
        <w:t>南区人民政府办公室</w:t>
      </w:r>
    </w:p>
    <w:p>
      <w:pPr>
        <w:keepNext w:val="0"/>
        <w:keepLines w:val="0"/>
        <w:pageBreakBefore w:val="0"/>
        <w:widowControl w:val="0"/>
        <w:suppressLineNumbers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_GBK" w:cs="Times New Roman"/>
          <w:snapToGrid w:val="0"/>
          <w:color w:val="000000"/>
          <w:spacing w:val="0"/>
          <w:kern w:val="0"/>
          <w:position w:val="0"/>
          <w:sz w:val="44"/>
          <w:szCs w:val="44"/>
          <w:lang w:val="en-US" w:eastAsia="zh-CN" w:bidi="ar"/>
        </w:rPr>
      </w:pPr>
      <w:bookmarkStart w:id="0" w:name="OLE_LINK118"/>
      <w:r>
        <w:rPr>
          <w:rFonts w:hint="default" w:ascii="Times New Roman" w:hAnsi="Times New Roman" w:eastAsia="方正小标宋_GBK" w:cs="Times New Roman"/>
          <w:snapToGrid w:val="0"/>
          <w:spacing w:val="0"/>
          <w:w w:val="100"/>
          <w:kern w:val="0"/>
          <w:position w:val="0"/>
          <w:sz w:val="44"/>
          <w:szCs w:val="44"/>
          <w:lang w:val="en-US" w:eastAsia="zh-CN"/>
        </w:rPr>
        <w:t>关于印发《</w:t>
      </w:r>
      <w:r>
        <w:rPr>
          <w:rFonts w:hint="default" w:ascii="Times New Roman" w:hAnsi="Times New Roman" w:eastAsia="方正小标宋_GBK" w:cs="Times New Roman"/>
          <w:snapToGrid w:val="0"/>
          <w:color w:val="000000"/>
          <w:spacing w:val="0"/>
          <w:kern w:val="0"/>
          <w:position w:val="0"/>
          <w:sz w:val="44"/>
          <w:szCs w:val="44"/>
          <w:lang w:val="en-US" w:eastAsia="zh-CN" w:bidi="ar"/>
        </w:rPr>
        <w:t>巴南区</w:t>
      </w:r>
      <w:bookmarkStart w:id="1" w:name="OLE_LINK9"/>
      <w:r>
        <w:rPr>
          <w:rFonts w:hint="default" w:ascii="Times New Roman" w:hAnsi="Times New Roman" w:eastAsia="方正小标宋_GBK" w:cs="Times New Roman"/>
          <w:snapToGrid w:val="0"/>
          <w:color w:val="000000"/>
          <w:spacing w:val="0"/>
          <w:kern w:val="0"/>
          <w:position w:val="0"/>
          <w:sz w:val="44"/>
          <w:szCs w:val="44"/>
          <w:lang w:val="en-US" w:eastAsia="zh-CN" w:bidi="ar"/>
        </w:rPr>
        <w:t>全面推动紧密型区域医疗</w:t>
      </w:r>
    </w:p>
    <w:p>
      <w:pPr>
        <w:keepNext w:val="0"/>
        <w:keepLines w:val="0"/>
        <w:pageBreakBefore w:val="0"/>
        <w:widowControl w:val="0"/>
        <w:suppressLineNumbers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_GBK" w:cs="Times New Roman"/>
          <w:snapToGrid w:val="0"/>
          <w:color w:val="000000"/>
          <w:spacing w:val="0"/>
          <w:kern w:val="0"/>
          <w:position w:val="0"/>
          <w:sz w:val="44"/>
          <w:szCs w:val="44"/>
          <w:lang w:val="en-US" w:eastAsia="zh-CN" w:bidi="ar"/>
        </w:rPr>
      </w:pPr>
      <w:r>
        <w:rPr>
          <w:rFonts w:hint="default" w:ascii="Times New Roman" w:hAnsi="Times New Roman" w:eastAsia="方正小标宋_GBK" w:cs="Times New Roman"/>
          <w:snapToGrid w:val="0"/>
          <w:color w:val="000000"/>
          <w:spacing w:val="0"/>
          <w:kern w:val="0"/>
          <w:position w:val="0"/>
          <w:sz w:val="44"/>
          <w:szCs w:val="44"/>
          <w:lang w:val="en-US" w:eastAsia="zh-CN" w:bidi="ar"/>
        </w:rPr>
        <w:t>卫生共同体（</w:t>
      </w:r>
      <w:r>
        <w:rPr>
          <w:rFonts w:hint="default" w:ascii="Times New Roman" w:hAnsi="Times New Roman" w:eastAsia="方正小标宋_GBK" w:cs="Times New Roman"/>
          <w:snapToGrid w:val="0"/>
          <w:color w:val="auto"/>
          <w:spacing w:val="0"/>
          <w:kern w:val="0"/>
          <w:position w:val="0"/>
          <w:sz w:val="44"/>
          <w:szCs w:val="44"/>
          <w:lang w:val="en-US" w:eastAsia="zh-CN" w:bidi="ar"/>
        </w:rPr>
        <w:t>医疗集团</w:t>
      </w:r>
      <w:r>
        <w:rPr>
          <w:rFonts w:hint="default" w:ascii="Times New Roman" w:hAnsi="Times New Roman" w:eastAsia="方正小标宋_GBK" w:cs="Times New Roman"/>
          <w:snapToGrid w:val="0"/>
          <w:color w:val="000000"/>
          <w:spacing w:val="0"/>
          <w:kern w:val="0"/>
          <w:position w:val="0"/>
          <w:sz w:val="44"/>
          <w:szCs w:val="44"/>
          <w:lang w:val="en-US" w:eastAsia="zh-CN" w:bidi="ar"/>
        </w:rPr>
        <w:t>）高质量发展</w:t>
      </w:r>
    </w:p>
    <w:p>
      <w:pPr>
        <w:keepNext w:val="0"/>
        <w:keepLines w:val="0"/>
        <w:pageBreakBefore w:val="0"/>
        <w:widowControl w:val="0"/>
        <w:suppressLineNumbers w:val="0"/>
        <w:kinsoku/>
        <w:wordWrap/>
        <w:overflowPunct/>
        <w:topLinePunct w:val="0"/>
        <w:autoSpaceDE/>
        <w:autoSpaceDN/>
        <w:bidi w:val="0"/>
        <w:spacing w:line="560" w:lineRule="exact"/>
        <w:ind w:left="0" w:leftChars="0"/>
        <w:jc w:val="center"/>
        <w:textAlignment w:val="auto"/>
        <w:rPr>
          <w:rFonts w:hint="default" w:ascii="Times New Roman" w:hAnsi="Times New Roman" w:eastAsia="宋体" w:cs="Times New Roman"/>
          <w:snapToGrid w:val="0"/>
          <w:spacing w:val="0"/>
          <w:kern w:val="0"/>
          <w:position w:val="0"/>
          <w:sz w:val="44"/>
          <w:szCs w:val="44"/>
          <w:lang w:val="en-US"/>
        </w:rPr>
      </w:pPr>
      <w:r>
        <w:rPr>
          <w:rFonts w:hint="default" w:ascii="Times New Roman" w:hAnsi="Times New Roman" w:eastAsia="方正小标宋_GBK" w:cs="Times New Roman"/>
          <w:snapToGrid w:val="0"/>
          <w:color w:val="000000"/>
          <w:spacing w:val="0"/>
          <w:kern w:val="0"/>
          <w:position w:val="0"/>
          <w:sz w:val="44"/>
          <w:szCs w:val="44"/>
          <w:lang w:val="en-US" w:eastAsia="zh-CN" w:bidi="ar"/>
        </w:rPr>
        <w:t>实施方案</w:t>
      </w:r>
      <w:bookmarkEnd w:id="1"/>
      <w:r>
        <w:rPr>
          <w:rFonts w:hint="default" w:ascii="Times New Roman" w:hAnsi="Times New Roman" w:eastAsia="方正小标宋_GBK" w:cs="Times New Roman"/>
          <w:snapToGrid w:val="0"/>
          <w:color w:val="000000"/>
          <w:spacing w:val="0"/>
          <w:kern w:val="0"/>
          <w:position w:val="0"/>
          <w:sz w:val="44"/>
          <w:szCs w:val="44"/>
          <w:lang w:val="en-US" w:eastAsia="zh-CN" w:bidi="ar"/>
        </w:rPr>
        <w:t>》的通知</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eastAsia" w:ascii="方正仿宋_GBK" w:hAnsi="方正仿宋_GBK" w:eastAsia="方正仿宋_GBK"/>
          <w:b w:val="0"/>
          <w:bCs w:val="0"/>
          <w:caps w:val="0"/>
          <w:snapToGrid w:val="0"/>
          <w:color w:val="000000"/>
          <w:spacing w:val="0"/>
          <w:w w:val="100"/>
          <w:kern w:val="0"/>
          <w:position w:val="0"/>
          <w:sz w:val="32"/>
        </w:rPr>
      </w:pPr>
      <w:r>
        <w:rPr>
          <w:rFonts w:hint="eastAsia" w:ascii="方正仿宋_GBK" w:hAnsi="方正仿宋_GBK" w:eastAsia="方正仿宋_GBK"/>
          <w:b w:val="0"/>
          <w:bCs w:val="0"/>
          <w:caps w:val="0"/>
          <w:snapToGrid w:val="0"/>
          <w:color w:val="000000"/>
          <w:spacing w:val="0"/>
          <w:w w:val="100"/>
          <w:kern w:val="0"/>
          <w:position w:val="0"/>
          <w:sz w:val="32"/>
        </w:rPr>
        <w:t>巴南府办发〔20</w:t>
      </w:r>
      <w:r>
        <w:rPr>
          <w:rFonts w:hint="eastAsia" w:ascii="方正仿宋_GBK" w:hAnsi="方正仿宋_GBK" w:eastAsia="方正仿宋_GBK"/>
          <w:b w:val="0"/>
          <w:bCs w:val="0"/>
          <w:caps w:val="0"/>
          <w:snapToGrid w:val="0"/>
          <w:color w:val="000000"/>
          <w:spacing w:val="0"/>
          <w:w w:val="100"/>
          <w:kern w:val="0"/>
          <w:position w:val="0"/>
          <w:sz w:val="32"/>
          <w:lang w:val="en-US" w:eastAsia="zh-CN"/>
        </w:rPr>
        <w:t>25</w:t>
      </w:r>
      <w:r>
        <w:rPr>
          <w:rFonts w:hint="eastAsia" w:ascii="方正仿宋_GBK" w:hAnsi="方正仿宋_GBK" w:eastAsia="方正仿宋_GBK"/>
          <w:b w:val="0"/>
          <w:bCs w:val="0"/>
          <w:caps w:val="0"/>
          <w:snapToGrid w:val="0"/>
          <w:color w:val="000000"/>
          <w:spacing w:val="0"/>
          <w:w w:val="100"/>
          <w:kern w:val="0"/>
          <w:position w:val="0"/>
          <w:sz w:val="32"/>
        </w:rPr>
        <w:t>〕</w:t>
      </w:r>
      <w:r>
        <w:rPr>
          <w:rFonts w:hint="eastAsia" w:ascii="方正仿宋_GBK" w:hAnsi="方正仿宋_GBK"/>
          <w:b w:val="0"/>
          <w:bCs w:val="0"/>
          <w:caps w:val="0"/>
          <w:snapToGrid w:val="0"/>
          <w:color w:val="000000"/>
          <w:spacing w:val="0"/>
          <w:w w:val="100"/>
          <w:kern w:val="0"/>
          <w:position w:val="0"/>
          <w:sz w:val="32"/>
          <w:lang w:val="en-US" w:eastAsia="zh-CN"/>
        </w:rPr>
        <w:t>19</w:t>
      </w:r>
      <w:r>
        <w:rPr>
          <w:rFonts w:hint="eastAsia" w:ascii="方正仿宋_GBK" w:hAnsi="方正仿宋_GBK" w:eastAsia="方正仿宋_GBK"/>
          <w:b w:val="0"/>
          <w:bCs w:val="0"/>
          <w:caps w:val="0"/>
          <w:snapToGrid w:val="0"/>
          <w:color w:val="000000"/>
          <w:spacing w:val="0"/>
          <w:w w:val="100"/>
          <w:kern w:val="0"/>
          <w:position w:val="0"/>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napToGrid w:val="0"/>
          <w:spacing w:val="0"/>
          <w:kern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rPr>
      </w:pPr>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napToGrid w:val="0"/>
          <w:spacing w:val="0"/>
          <w:w w:val="100"/>
          <w:kern w:val="0"/>
          <w:position w:val="0"/>
          <w:sz w:val="32"/>
          <w:szCs w:val="32"/>
          <w:lang w:val="en-US" w:eastAsia="zh-CN" w:bidi="ar-SA"/>
        </w:rPr>
      </w:pPr>
      <w:r>
        <w:rPr>
          <w:rFonts w:hint="default" w:ascii="Times New Roman" w:hAnsi="Times New Roman" w:eastAsia="方正仿宋_GBK" w:cs="Times New Roman"/>
          <w:snapToGrid w:val="0"/>
          <w:spacing w:val="0"/>
          <w:w w:val="100"/>
          <w:kern w:val="0"/>
          <w:position w:val="0"/>
          <w:sz w:val="32"/>
          <w:szCs w:val="32"/>
          <w:lang w:val="en-US" w:eastAsia="zh-CN"/>
        </w:rPr>
        <w:t>《巴南区</w:t>
      </w:r>
      <w:bookmarkStart w:id="2" w:name="OLE_LINK109"/>
      <w:r>
        <w:rPr>
          <w:rFonts w:hint="default" w:ascii="Times New Roman" w:hAnsi="Times New Roman" w:eastAsia="方正仿宋_GBK" w:cs="Times New Roman"/>
          <w:snapToGrid w:val="0"/>
          <w:spacing w:val="0"/>
          <w:w w:val="100"/>
          <w:kern w:val="0"/>
          <w:position w:val="0"/>
          <w:sz w:val="32"/>
          <w:szCs w:val="32"/>
          <w:lang w:val="en-US" w:eastAsia="zh-CN"/>
        </w:rPr>
        <w:t>全面推动紧密型区域医疗卫生共同体（医疗集团）高质量发展实施方案</w:t>
      </w:r>
      <w:bookmarkEnd w:id="2"/>
      <w:r>
        <w:rPr>
          <w:rFonts w:hint="default" w:ascii="Times New Roman" w:hAnsi="Times New Roman" w:eastAsia="方正仿宋_GBK" w:cs="Times New Roman"/>
          <w:snapToGrid w:val="0"/>
          <w:spacing w:val="0"/>
          <w:w w:val="100"/>
          <w:kern w:val="0"/>
          <w:position w:val="0"/>
          <w:sz w:val="32"/>
          <w:szCs w:val="32"/>
          <w:lang w:val="en-US" w:eastAsia="zh-CN"/>
        </w:rPr>
        <w:t>》已经区政府同意，现印发给你们，请认真贯彻执行。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napToGrid w:val="0"/>
          <w:spacing w:val="0"/>
          <w:w w:val="100"/>
          <w:kern w:val="0"/>
          <w:positio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napToGrid w:val="0"/>
          <w:spacing w:val="0"/>
          <w:w w:val="100"/>
          <w:kern w:val="0"/>
          <w:position w:val="0"/>
          <w:sz w:val="32"/>
          <w:szCs w:val="32"/>
        </w:rPr>
      </w:pPr>
      <w:r>
        <w:rPr>
          <w:rFonts w:hint="default" w:ascii="Times New Roman" w:hAnsi="Times New Roman" w:eastAsia="方正仿宋_GBK" w:cs="Times New Roman"/>
          <w:snapToGrid w:val="0"/>
          <w:spacing w:val="0"/>
          <w:w w:val="100"/>
          <w:kern w:val="0"/>
          <w:position w:val="0"/>
          <w:sz w:val="32"/>
          <w:szCs w:val="32"/>
        </w:rPr>
        <w:t xml:space="preserve">                   重庆市巴南区人民政府办公室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napToGrid w:val="0"/>
          <w:spacing w:val="0"/>
          <w:w w:val="100"/>
          <w:kern w:val="0"/>
          <w:position w:val="0"/>
          <w:sz w:val="32"/>
          <w:szCs w:val="32"/>
          <w:lang w:eastAsia="zh-CN"/>
        </w:rPr>
      </w:pPr>
      <w:r>
        <w:rPr>
          <w:rFonts w:hint="default" w:ascii="Times New Roman" w:hAnsi="Times New Roman" w:eastAsia="方正仿宋_GBK" w:cs="Times New Roman"/>
          <w:snapToGrid w:val="0"/>
          <w:spacing w:val="0"/>
          <w:w w:val="100"/>
          <w:kern w:val="0"/>
          <w:position w:val="0"/>
          <w:sz w:val="32"/>
          <w:szCs w:val="32"/>
        </w:rPr>
        <w:t xml:space="preserve">                        202</w:t>
      </w:r>
      <w:r>
        <w:rPr>
          <w:rFonts w:hint="default" w:ascii="Times New Roman" w:hAnsi="Times New Roman" w:eastAsia="方正仿宋_GBK" w:cs="Times New Roman"/>
          <w:snapToGrid w:val="0"/>
          <w:spacing w:val="0"/>
          <w:w w:val="100"/>
          <w:kern w:val="0"/>
          <w:position w:val="0"/>
          <w:sz w:val="32"/>
          <w:szCs w:val="32"/>
          <w:lang w:val="en-US" w:eastAsia="zh-CN"/>
        </w:rPr>
        <w:t>5</w:t>
      </w:r>
      <w:r>
        <w:rPr>
          <w:rFonts w:hint="default" w:ascii="Times New Roman" w:hAnsi="Times New Roman" w:eastAsia="方正仿宋_GBK" w:cs="Times New Roman"/>
          <w:snapToGrid w:val="0"/>
          <w:spacing w:val="0"/>
          <w:w w:val="100"/>
          <w:kern w:val="0"/>
          <w:position w:val="0"/>
          <w:sz w:val="32"/>
          <w:szCs w:val="32"/>
        </w:rPr>
        <w:t>年</w:t>
      </w:r>
      <w:r>
        <w:rPr>
          <w:rFonts w:hint="default" w:ascii="Times New Roman" w:hAnsi="Times New Roman" w:eastAsia="方正仿宋_GBK" w:cs="Times New Roman"/>
          <w:snapToGrid w:val="0"/>
          <w:spacing w:val="0"/>
          <w:w w:val="100"/>
          <w:kern w:val="0"/>
          <w:position w:val="0"/>
          <w:sz w:val="32"/>
          <w:szCs w:val="32"/>
          <w:lang w:val="en-US" w:eastAsia="zh-CN"/>
        </w:rPr>
        <w:t>7月</w:t>
      </w:r>
      <w:r>
        <w:rPr>
          <w:rFonts w:hint="eastAsia" w:ascii="Times New Roman" w:hAnsi="Times New Roman" w:eastAsia="方正仿宋_GBK" w:cs="Times New Roman"/>
          <w:snapToGrid w:val="0"/>
          <w:spacing w:val="0"/>
          <w:w w:val="100"/>
          <w:kern w:val="0"/>
          <w:position w:val="0"/>
          <w:sz w:val="32"/>
          <w:szCs w:val="32"/>
          <w:lang w:val="en-US" w:eastAsia="zh-CN"/>
        </w:rPr>
        <w:t>22</w:t>
      </w:r>
      <w:r>
        <w:rPr>
          <w:rFonts w:hint="default" w:ascii="Times New Roman" w:hAnsi="Times New Roman" w:eastAsia="方正仿宋_GBK" w:cs="Times New Roman"/>
          <w:snapToGrid w:val="0"/>
          <w:spacing w:val="0"/>
          <w:w w:val="100"/>
          <w:kern w:val="0"/>
          <w:positio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0" w:firstLineChars="0"/>
        <w:jc w:val="both"/>
        <w:textAlignment w:val="auto"/>
        <w:outlineLvl w:val="9"/>
        <w:rPr>
          <w:rFonts w:hint="default" w:ascii="Times New Roman" w:hAnsi="Times New Roman" w:eastAsia="方正仿宋_GBK" w:cs="Times New Roman"/>
          <w:snapToGrid w:val="0"/>
          <w:spacing w:val="0"/>
          <w:w w:val="100"/>
          <w:kern w:val="0"/>
          <w:position w:val="0"/>
          <w:sz w:val="32"/>
          <w:szCs w:val="32"/>
          <w:lang w:val="en-US" w:eastAsia="zh-CN" w:bidi="ar-SA"/>
        </w:rPr>
      </w:pPr>
      <w:r>
        <w:rPr>
          <w:rFonts w:hint="default" w:ascii="Times New Roman" w:hAnsi="Times New Roman" w:eastAsia="方正仿宋_GBK" w:cs="Times New Roman"/>
          <w:snapToGrid w:val="0"/>
          <w:spacing w:val="0"/>
          <w:w w:val="100"/>
          <w:kern w:val="0"/>
          <w:position w:val="0"/>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r>
        <w:rPr>
          <w:rFonts w:hint="default" w:ascii="Times New Roman" w:hAnsi="Times New Roman" w:eastAsia="方正小标宋_GBK" w:cs="Times New Roman"/>
          <w:snapToGrid w:val="0"/>
          <w:color w:val="000000"/>
          <w:spacing w:val="0"/>
          <w:kern w:val="0"/>
          <w:position w:val="0"/>
          <w:sz w:val="44"/>
          <w:szCs w:val="44"/>
          <w:lang w:val="en-US" w:eastAsia="zh-CN" w:bidi="ar"/>
        </w:rPr>
        <w:t>巴南区全面推动紧密型区域医疗卫生共同体</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outlineLvl w:val="9"/>
        <w:rPr>
          <w:rFonts w:hint="default" w:ascii="Times New Roman" w:hAnsi="Times New Roman" w:eastAsia="方正小标宋_GBK" w:cs="Times New Roman"/>
          <w:snapToGrid w:val="0"/>
          <w:color w:val="000000"/>
          <w:spacing w:val="0"/>
          <w:kern w:val="0"/>
          <w:position w:val="0"/>
          <w:sz w:val="44"/>
          <w:szCs w:val="44"/>
          <w:lang w:val="en-US" w:eastAsia="zh-CN" w:bidi="ar"/>
        </w:rPr>
      </w:pPr>
      <w:r>
        <w:rPr>
          <w:rFonts w:hint="default" w:ascii="Times New Roman" w:hAnsi="Times New Roman" w:eastAsia="方正小标宋_GBK" w:cs="Times New Roman"/>
          <w:snapToGrid w:val="0"/>
          <w:color w:val="000000"/>
          <w:spacing w:val="0"/>
          <w:kern w:val="0"/>
          <w:position w:val="0"/>
          <w:sz w:val="44"/>
          <w:szCs w:val="44"/>
          <w:lang w:val="en-US" w:eastAsia="zh-CN" w:bidi="ar"/>
        </w:rPr>
        <w:t>（</w:t>
      </w:r>
      <w:r>
        <w:rPr>
          <w:rFonts w:hint="default" w:ascii="Times New Roman" w:hAnsi="Times New Roman" w:eastAsia="方正小标宋_GBK" w:cs="Times New Roman"/>
          <w:snapToGrid w:val="0"/>
          <w:color w:val="auto"/>
          <w:spacing w:val="0"/>
          <w:kern w:val="0"/>
          <w:position w:val="0"/>
          <w:sz w:val="44"/>
          <w:szCs w:val="44"/>
          <w:lang w:val="en-US" w:eastAsia="zh-CN" w:bidi="ar"/>
        </w:rPr>
        <w:t>医疗集团</w:t>
      </w:r>
      <w:r>
        <w:rPr>
          <w:rFonts w:hint="default" w:ascii="Times New Roman" w:hAnsi="Times New Roman" w:eastAsia="方正小标宋_GBK" w:cs="Times New Roman"/>
          <w:snapToGrid w:val="0"/>
          <w:color w:val="000000"/>
          <w:spacing w:val="0"/>
          <w:kern w:val="0"/>
          <w:position w:val="0"/>
          <w:sz w:val="44"/>
          <w:szCs w:val="44"/>
          <w:lang w:val="en-US" w:eastAsia="zh-CN" w:bidi="ar"/>
        </w:rPr>
        <w:t>）高质量发展实施方案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860" w:firstLineChars="200"/>
        <w:jc w:val="both"/>
        <w:textAlignment w:val="auto"/>
        <w:outlineLvl w:val="9"/>
        <w:rPr>
          <w:rFonts w:hint="default" w:ascii="Times New Roman" w:hAnsi="Times New Roman" w:eastAsia="方正小标宋_GBK" w:cs="Times New Roman"/>
          <w:snapToGrid w:val="0"/>
          <w:color w:val="000000"/>
          <w:spacing w:val="0"/>
          <w:kern w:val="0"/>
          <w:positio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0"/>
        <w:jc w:val="both"/>
        <w:textAlignment w:val="auto"/>
        <w:outlineLvl w:val="9"/>
        <w:rPr>
          <w:rFonts w:hint="default" w:ascii="Times New Roman" w:hAnsi="Times New Roman" w:eastAsia="方正仿宋_GBK" w:cs="Times New Roman"/>
          <w:snapToGrid w:val="0"/>
          <w:color w:val="000000"/>
          <w:spacing w:val="0"/>
          <w:kern w:val="0"/>
          <w:position w:val="0"/>
          <w:sz w:val="32"/>
          <w:szCs w:val="32"/>
          <w:highlight w:val="none"/>
          <w:u w:val="none" w:color="auto"/>
          <w:lang w:val="en-US" w:eastAsia="zh-CN" w:bidi="ar"/>
        </w:rPr>
      </w:pPr>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rPr>
        <w:t>为贯彻落实</w:t>
      </w:r>
      <w:bookmarkStart w:id="3" w:name="OLE_LINK77"/>
      <w:bookmarkStart w:id="4" w:name="OLE_LINK79"/>
      <w:bookmarkStart w:id="5" w:name="OLE_LINK4"/>
      <w:r>
        <w:rPr>
          <w:rFonts w:hint="default" w:ascii="Times New Roman" w:hAnsi="Times New Roman" w:eastAsia="方正仿宋_GBK" w:cs="Times New Roman"/>
          <w:snapToGrid w:val="0"/>
          <w:color w:val="000000"/>
          <w:spacing w:val="0"/>
          <w:w w:val="100"/>
          <w:kern w:val="0"/>
          <w:position w:val="0"/>
          <w:sz w:val="32"/>
          <w:szCs w:val="32"/>
          <w:highlight w:val="none"/>
          <w:u w:val="none" w:color="auto"/>
        </w:rPr>
        <w:t>重庆市人民政府办公厅</w:t>
      </w:r>
      <w:bookmarkStart w:id="6" w:name="OLE_LINK91"/>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eastAsia="zh-CN"/>
        </w:rPr>
        <w:t>《关于印发</w:t>
      </w:r>
      <w:r>
        <w:rPr>
          <w:rFonts w:hint="default" w:ascii="Times New Roman" w:hAnsi="Times New Roman" w:eastAsia="方正仿宋_GBK" w:cs="Times New Roman"/>
          <w:snapToGrid w:val="0"/>
          <w:color w:val="000000"/>
          <w:spacing w:val="0"/>
          <w:w w:val="100"/>
          <w:kern w:val="0"/>
          <w:position w:val="0"/>
          <w:sz w:val="32"/>
          <w:szCs w:val="32"/>
          <w:highlight w:val="none"/>
          <w:u w:val="none" w:color="auto"/>
        </w:rPr>
        <w:t>重庆市全面推动紧密型区县域医疗卫生共同体高质量发展实施方案</w:t>
      </w:r>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eastAsia="zh-CN"/>
        </w:rPr>
        <w:t>的通知</w:t>
      </w:r>
      <w:r>
        <w:rPr>
          <w:rFonts w:hint="default" w:ascii="Times New Roman" w:hAnsi="Times New Roman" w:eastAsia="方正仿宋_GBK" w:cs="Times New Roman"/>
          <w:snapToGrid w:val="0"/>
          <w:color w:val="000000"/>
          <w:spacing w:val="0"/>
          <w:w w:val="100"/>
          <w:kern w:val="0"/>
          <w:position w:val="0"/>
          <w:sz w:val="32"/>
          <w:szCs w:val="32"/>
          <w:highlight w:val="none"/>
          <w:u w:val="none" w:color="auto"/>
        </w:rPr>
        <w:t>》</w:t>
      </w:r>
      <w:bookmarkEnd w:id="3"/>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eastAsia="zh-CN"/>
        </w:rPr>
        <w:t>（</w:t>
      </w:r>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rPr>
        <w:t>渝府办发〔2024〕95号</w:t>
      </w:r>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eastAsia="zh-CN"/>
        </w:rPr>
        <w:t>）</w:t>
      </w:r>
      <w:bookmarkEnd w:id="4"/>
      <w:bookmarkEnd w:id="6"/>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eastAsia="zh-CN"/>
        </w:rPr>
        <w:t>精神</w:t>
      </w:r>
      <w:bookmarkEnd w:id="5"/>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eastAsia="zh-CN"/>
        </w:rPr>
        <w:t>，</w:t>
      </w:r>
      <w:bookmarkStart w:id="7" w:name="OLE_LINK76"/>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rPr>
        <w:t>全面推动我区紧密型区域医疗卫生共同体（医疗集团）（以下简称区域医共体）高质量发展</w:t>
      </w:r>
      <w:bookmarkEnd w:id="7"/>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bidi="ar-SA"/>
        </w:rPr>
        <w:t>结合我区实际，制定本实施方案。</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黑体_GBK" w:cs="Times New Roman"/>
          <w:snapToGrid w:val="0"/>
          <w:color w:val="000000"/>
          <w:spacing w:val="0"/>
          <w:w w:val="100"/>
          <w:kern w:val="0"/>
          <w:position w:val="0"/>
          <w:sz w:val="32"/>
          <w:szCs w:val="32"/>
          <w:highlight w:val="none"/>
          <w:u w:val="none" w:color="auto"/>
          <w:lang w:val="en-US" w:eastAsia="zh-CN" w:bidi="ar-SA"/>
        </w:rPr>
      </w:pPr>
      <w:bookmarkStart w:id="8" w:name="OLE_LINK1"/>
      <w:r>
        <w:rPr>
          <w:rFonts w:hint="default" w:ascii="Times New Roman" w:hAnsi="Times New Roman" w:eastAsia="方正黑体_GBK" w:cs="Times New Roman"/>
          <w:snapToGrid w:val="0"/>
          <w:color w:val="000000"/>
          <w:spacing w:val="0"/>
          <w:w w:val="100"/>
          <w:kern w:val="0"/>
          <w:position w:val="0"/>
          <w:sz w:val="32"/>
          <w:szCs w:val="32"/>
          <w:highlight w:val="none"/>
          <w:u w:val="none" w:color="auto"/>
          <w:lang w:val="en-US" w:eastAsia="zh-CN" w:bidi="ar-SA"/>
        </w:rPr>
        <w:t>一、总体</w:t>
      </w:r>
      <w:r>
        <w:rPr>
          <w:rFonts w:hint="default" w:ascii="Times New Roman" w:hAnsi="Times New Roman" w:eastAsia="方正黑体_GBK" w:cs="Times New Roman"/>
          <w:strike w:val="0"/>
          <w:dstrike w:val="0"/>
          <w:snapToGrid w:val="0"/>
          <w:color w:val="000000"/>
          <w:spacing w:val="0"/>
          <w:w w:val="100"/>
          <w:kern w:val="0"/>
          <w:position w:val="0"/>
          <w:sz w:val="32"/>
          <w:szCs w:val="32"/>
          <w:highlight w:val="none"/>
          <w:u w:val="none" w:color="auto"/>
          <w:lang w:val="en-US" w:eastAsia="zh-CN" w:bidi="ar-SA"/>
        </w:rPr>
        <w:t>目标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val="en-US" w:eastAsia="zh-CN" w:bidi="ar-SA"/>
        </w:rPr>
      </w:pPr>
      <w:bookmarkStart w:id="9" w:name="OLE_LINK8"/>
      <w:r>
        <w:rPr>
          <w:rFonts w:hint="default" w:ascii="Times New Roman" w:hAnsi="Times New Roman" w:eastAsia="方正仿宋_GBK" w:cs="Times New Roman"/>
          <w:snapToGrid w:val="0"/>
          <w:spacing w:val="0"/>
          <w:kern w:val="0"/>
          <w:position w:val="0"/>
          <w:sz w:val="32"/>
          <w:szCs w:val="32"/>
          <w:highlight w:val="none"/>
          <w:u w:val="none" w:color="auto"/>
          <w:lang w:val="en-US" w:eastAsia="zh-CN"/>
        </w:rPr>
        <w:t>2025年底，力争基本建成</w:t>
      </w:r>
      <w:r>
        <w:rPr>
          <w:rFonts w:hint="default" w:ascii="Times New Roman" w:hAnsi="Times New Roman" w:eastAsia="方正仿宋_GBK" w:cs="Times New Roman"/>
          <w:snapToGrid w:val="0"/>
          <w:spacing w:val="0"/>
          <w:kern w:val="0"/>
          <w:position w:val="0"/>
          <w:sz w:val="32"/>
          <w:szCs w:val="32"/>
          <w:highlight w:val="none"/>
          <w:u w:val="none" w:color="auto"/>
        </w:rPr>
        <w:t>人财物统一管理、权责清晰、运行高效、分工协作、服务连续、信息共享</w:t>
      </w:r>
      <w:r>
        <w:rPr>
          <w:rFonts w:hint="default" w:ascii="Times New Roman" w:hAnsi="Times New Roman" w:eastAsia="方正仿宋_GBK" w:cs="Times New Roman"/>
          <w:snapToGrid w:val="0"/>
          <w:spacing w:val="0"/>
          <w:kern w:val="0"/>
          <w:position w:val="0"/>
          <w:sz w:val="32"/>
          <w:szCs w:val="32"/>
          <w:highlight w:val="none"/>
          <w:u w:val="none" w:color="auto"/>
          <w:lang w:eastAsia="zh-CN"/>
        </w:rPr>
        <w:t>的</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2</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个</w:t>
      </w:r>
      <w:r>
        <w:rPr>
          <w:rFonts w:hint="default" w:ascii="Times New Roman" w:hAnsi="Times New Roman" w:eastAsia="方正仿宋_GBK" w:cs="Times New Roman"/>
          <w:snapToGrid w:val="0"/>
          <w:spacing w:val="0"/>
          <w:kern w:val="0"/>
          <w:position w:val="0"/>
          <w:sz w:val="32"/>
          <w:szCs w:val="32"/>
          <w:highlight w:val="none"/>
          <w:u w:val="none" w:color="auto"/>
          <w:lang w:val="en-US" w:eastAsia="zh-CN"/>
        </w:rPr>
        <w:t>区域医共体。</w:t>
      </w:r>
      <w:r>
        <w:rPr>
          <w:rFonts w:hint="default" w:ascii="Times New Roman" w:hAnsi="Times New Roman" w:eastAsia="方正仿宋_GBK" w:cs="Times New Roman"/>
          <w:snapToGrid w:val="0"/>
          <w:spacing w:val="0"/>
          <w:kern w:val="0"/>
          <w:position w:val="0"/>
          <w:sz w:val="32"/>
          <w:szCs w:val="32"/>
          <w:highlight w:val="none"/>
          <w:u w:val="none" w:color="auto"/>
        </w:rPr>
        <w:t>到2027年底</w:t>
      </w:r>
      <w:r>
        <w:rPr>
          <w:rFonts w:hint="default" w:ascii="Times New Roman" w:hAnsi="Times New Roman" w:eastAsia="方正仿宋_GBK" w:cs="Times New Roman"/>
          <w:snapToGrid w:val="0"/>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000000"/>
          <w:spacing w:val="0"/>
          <w:w w:val="100"/>
          <w:kern w:val="0"/>
          <w:position w:val="0"/>
          <w:sz w:val="32"/>
          <w:szCs w:val="32"/>
          <w:highlight w:val="none"/>
          <w:u w:val="none" w:color="auto"/>
          <w:lang w:eastAsia="zh-CN"/>
        </w:rPr>
        <w:t>分级诊疗体系基本建成，</w:t>
      </w:r>
      <w:bookmarkStart w:id="10" w:name="OLE_LINK92"/>
      <w:r>
        <w:rPr>
          <w:rFonts w:hint="default" w:ascii="Times New Roman" w:hAnsi="Times New Roman" w:eastAsia="方正仿宋_GBK" w:cs="Times New Roman"/>
          <w:snapToGrid w:val="0"/>
          <w:spacing w:val="0"/>
          <w:kern w:val="0"/>
          <w:position w:val="0"/>
          <w:sz w:val="32"/>
          <w:szCs w:val="32"/>
          <w:highlight w:val="none"/>
          <w:u w:val="none" w:color="auto"/>
          <w:lang w:eastAsia="zh-CN"/>
        </w:rPr>
        <w:t>乡、村两级</w:t>
      </w:r>
      <w:r>
        <w:rPr>
          <w:rFonts w:hint="default" w:ascii="Times New Roman" w:hAnsi="Times New Roman" w:eastAsia="方正仿宋_GBK" w:cs="Times New Roman"/>
          <w:snapToGrid w:val="0"/>
          <w:spacing w:val="0"/>
          <w:kern w:val="0"/>
          <w:position w:val="0"/>
          <w:sz w:val="32"/>
          <w:szCs w:val="32"/>
          <w:highlight w:val="none"/>
          <w:u w:val="none" w:color="auto"/>
        </w:rPr>
        <w:t>医疗卫生服务</w:t>
      </w:r>
      <w:bookmarkEnd w:id="10"/>
      <w:r>
        <w:rPr>
          <w:rFonts w:hint="default" w:ascii="Times New Roman" w:hAnsi="Times New Roman" w:eastAsia="方正仿宋_GBK" w:cs="Times New Roman"/>
          <w:snapToGrid w:val="0"/>
          <w:spacing w:val="0"/>
          <w:kern w:val="0"/>
          <w:position w:val="0"/>
          <w:sz w:val="32"/>
          <w:szCs w:val="32"/>
          <w:highlight w:val="none"/>
          <w:u w:val="none" w:color="auto"/>
          <w:lang w:eastAsia="zh-CN"/>
        </w:rPr>
        <w:t>水平显著</w:t>
      </w:r>
      <w:r>
        <w:rPr>
          <w:rFonts w:hint="default" w:ascii="Times New Roman" w:hAnsi="Times New Roman" w:eastAsia="方正仿宋_GBK" w:cs="Times New Roman"/>
          <w:snapToGrid w:val="0"/>
          <w:spacing w:val="0"/>
          <w:kern w:val="0"/>
          <w:position w:val="0"/>
          <w:sz w:val="32"/>
          <w:szCs w:val="32"/>
          <w:highlight w:val="none"/>
          <w:u w:val="none" w:color="auto"/>
        </w:rPr>
        <w:t>提升，</w:t>
      </w:r>
      <w:r>
        <w:rPr>
          <w:rFonts w:hint="default" w:ascii="Times New Roman" w:hAnsi="Times New Roman" w:eastAsia="方正仿宋_GBK" w:cs="Times New Roman"/>
          <w:snapToGrid w:val="0"/>
          <w:spacing w:val="0"/>
          <w:kern w:val="0"/>
          <w:position w:val="0"/>
          <w:sz w:val="32"/>
          <w:szCs w:val="32"/>
          <w:highlight w:val="none"/>
          <w:u w:val="none" w:color="auto"/>
          <w:lang w:eastAsia="zh-CN"/>
        </w:rPr>
        <w:t>群众就近就医获得感明显增强</w:t>
      </w:r>
      <w:bookmarkEnd w:id="9"/>
      <w:r>
        <w:rPr>
          <w:rFonts w:hint="default" w:ascii="Times New Roman" w:hAnsi="Times New Roman" w:eastAsia="方正仿宋_GBK" w:cs="Times New Roman"/>
          <w:snapToGrid w:val="0"/>
          <w:spacing w:val="0"/>
          <w:kern w:val="0"/>
          <w:position w:val="0"/>
          <w:sz w:val="32"/>
          <w:szCs w:val="32"/>
          <w:highlight w:val="none"/>
          <w:u w:val="none" w:color="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黑体_GBK" w:cs="Times New Roman"/>
          <w:snapToGrid w:val="0"/>
          <w:color w:val="auto"/>
          <w:spacing w:val="0"/>
          <w:w w:val="100"/>
          <w:kern w:val="0"/>
          <w:position w:val="0"/>
          <w:sz w:val="32"/>
          <w:szCs w:val="32"/>
          <w:highlight w:val="none"/>
          <w:u w:val="none" w:color="auto"/>
          <w:lang w:val="en-US" w:eastAsia="zh-CN" w:bidi="ar-SA"/>
        </w:rPr>
      </w:pPr>
      <w:r>
        <w:rPr>
          <w:rFonts w:hint="default" w:ascii="Times New Roman" w:hAnsi="Times New Roman" w:eastAsia="方正黑体_GBK" w:cs="Times New Roman"/>
          <w:snapToGrid w:val="0"/>
          <w:color w:val="auto"/>
          <w:spacing w:val="0"/>
          <w:w w:val="100"/>
          <w:kern w:val="0"/>
          <w:position w:val="0"/>
          <w:sz w:val="32"/>
          <w:szCs w:val="32"/>
          <w:highlight w:val="none"/>
          <w:u w:val="none" w:color="auto"/>
          <w:lang w:val="en-US" w:eastAsia="zh-CN" w:bidi="ar-SA"/>
        </w:rPr>
        <w:t>二、构建整合型医疗卫生服务体系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pPr>
      <w:r>
        <w:rPr>
          <w:rFonts w:hint="default" w:ascii="Times New Roman" w:hAnsi="Times New Roman" w:eastAsia="方正楷体_GBK" w:cs="Times New Roman"/>
          <w:snapToGrid w:val="0"/>
          <w:color w:val="auto"/>
          <w:spacing w:val="0"/>
          <w:w w:val="100"/>
          <w:kern w:val="0"/>
          <w:position w:val="0"/>
          <w:sz w:val="32"/>
          <w:szCs w:val="32"/>
          <w:highlight w:val="none"/>
          <w:u w:val="none" w:color="auto"/>
          <w:lang w:val="en-US" w:eastAsia="zh-CN" w:bidi="ar-SA"/>
        </w:rPr>
        <w:t>（一）深化区域医共体建设。</w:t>
      </w:r>
      <w:bookmarkStart w:id="11" w:name="OLE_LINK40"/>
      <w:bookmarkStart w:id="12" w:name="OLE_LINK80"/>
      <w:bookmarkStart w:id="13" w:name="OLE_LINK93"/>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按照</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2+N</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模式，</w:t>
      </w:r>
      <w:bookmarkStart w:id="14" w:name="OLE_LINK98"/>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组建</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bidi="ar-SA"/>
        </w:rPr>
        <w:t>由</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市七院、区人民医院两家三级医院牵头，其他区级医院、乡镇卫生院、社区卫生服务中心、专业公共卫生机构等组成的</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2个</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区域医共体</w:t>
      </w:r>
      <w:bookmarkEnd w:id="11"/>
      <w:bookmarkStart w:id="15" w:name="OLE_LINK41"/>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bookmarkEnd w:id="12"/>
      <w:bookmarkEnd w:id="14"/>
      <w:bookmarkEnd w:id="15"/>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民营医院可自愿加入。</w:t>
      </w:r>
      <w:bookmarkStart w:id="16" w:name="OLE_LINK107"/>
      <w:bookmarkStart w:id="17" w:name="OLE_LINK82"/>
      <w:bookmarkStart w:id="18" w:name="OLE_LINK108"/>
      <w:bookmarkStart w:id="19" w:name="OLE_LINK83"/>
      <w:bookmarkStart w:id="20" w:name="OLE_LINK100"/>
      <w:bookmarkStart w:id="21" w:name="OLE_LINK42"/>
      <w:bookmarkStart w:id="22" w:name="OLE_LINK81"/>
      <w:bookmarkStart w:id="23" w:name="OLE_LINK99"/>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持续强化区域中医药联盟，</w:t>
      </w:r>
      <w:bookmarkEnd w:id="16"/>
      <w:r>
        <w:rPr>
          <w:rFonts w:hint="default" w:ascii="Times New Roman" w:hAnsi="Times New Roman" w:eastAsia="方正仿宋_GBK" w:cs="Times New Roman"/>
          <w:bCs/>
          <w:snapToGrid w:val="0"/>
          <w:color w:val="auto"/>
          <w:spacing w:val="0"/>
          <w:kern w:val="0"/>
          <w:position w:val="0"/>
          <w:sz w:val="32"/>
          <w:szCs w:val="32"/>
          <w:highlight w:val="none"/>
          <w:u w:val="none" w:color="auto"/>
          <w:lang w:val="en-US" w:eastAsia="zh-CN"/>
        </w:rPr>
        <w:t>发挥区中医院中医药服务龙头带动作用，</w:t>
      </w:r>
      <w:bookmarkEnd w:id="17"/>
      <w:r>
        <w:rPr>
          <w:rFonts w:hint="default" w:ascii="Times New Roman" w:hAnsi="Times New Roman" w:eastAsia="方正仿宋_GBK" w:cs="Times New Roman"/>
          <w:bCs/>
          <w:snapToGrid w:val="0"/>
          <w:color w:val="auto"/>
          <w:spacing w:val="0"/>
          <w:kern w:val="0"/>
          <w:position w:val="0"/>
          <w:sz w:val="32"/>
          <w:szCs w:val="32"/>
          <w:highlight w:val="none"/>
          <w:u w:val="none" w:color="auto"/>
          <w:lang w:val="en-US" w:eastAsia="zh-CN"/>
        </w:rPr>
        <w:t>加强对基层中医药发展帮扶，</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探索</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由区域医共体牵头单位委托区中医院，</w:t>
      </w:r>
      <w:r>
        <w:rPr>
          <w:rFonts w:hint="default" w:ascii="Times New Roman" w:hAnsi="Times New Roman" w:eastAsia="方正仿宋_GBK" w:cs="Times New Roman"/>
          <w:bCs/>
          <w:snapToGrid w:val="0"/>
          <w:color w:val="auto"/>
          <w:spacing w:val="0"/>
          <w:kern w:val="0"/>
          <w:position w:val="0"/>
          <w:sz w:val="32"/>
          <w:szCs w:val="32"/>
          <w:highlight w:val="none"/>
          <w:u w:val="none" w:color="auto"/>
          <w:lang w:val="en-US" w:eastAsia="zh-CN"/>
        </w:rPr>
        <w:t>选定3−5个基层医疗单位</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构建</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1个中医</w:t>
      </w:r>
      <w:r>
        <w:rPr>
          <w:rFonts w:hint="default" w:ascii="Times New Roman" w:hAnsi="Times New Roman" w:eastAsia="方正仿宋_GBK" w:cs="Times New Roman"/>
          <w:strike w:val="0"/>
          <w:snapToGrid w:val="0"/>
          <w:color w:val="auto"/>
          <w:spacing w:val="0"/>
          <w:kern w:val="0"/>
          <w:position w:val="0"/>
          <w:sz w:val="32"/>
          <w:szCs w:val="32"/>
          <w:highlight w:val="none"/>
          <w:u w:val="none" w:color="auto"/>
          <w:lang w:val="en-US" w:eastAsia="zh-CN"/>
        </w:rPr>
        <w:t>紧</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密型医共体</w:t>
      </w:r>
      <w:bookmarkEnd w:id="18"/>
      <w:bookmarkEnd w:id="19"/>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；深入推进2个医疗卫生次中心建设，促进与周边乡镇卫生院融合发展</w:t>
      </w:r>
      <w:bookmarkEnd w:id="20"/>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，支持天星寺镇卫生院由接龙镇中心卫生院托管</w:t>
      </w:r>
      <w:bookmarkEnd w:id="21"/>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bookmarkEnd w:id="22"/>
      <w:bookmarkEnd w:id="23"/>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统筹国家</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传染病防控医防协同医防融合</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疾控监督员制度</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赋予公卫医师处方权</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三项试点协同开展，压实医疗机构落实公共卫生履职清单主体责任</w:t>
      </w:r>
      <w:bookmarkEnd w:id="13"/>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bookmarkStart w:id="24" w:name="OLE_LINK78"/>
    </w:p>
    <w:bookmarkEnd w:id="24"/>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bidi="ar"/>
        </w:rPr>
      </w:pPr>
      <w:r>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bidi="ar"/>
        </w:rPr>
        <w:t>（二）配合落实市属医院对区域医共体的帮扶机制。</w:t>
      </w:r>
      <w:bookmarkStart w:id="25" w:name="OLE_LINK43"/>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加强区域医共体与市属医院的合作，提升区域医共体服务能力和管理水平。</w:t>
      </w:r>
      <w:bookmarkStart w:id="26" w:name="OLE_LINK84"/>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按照市级统一部署，贯彻落实</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市聘县用</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改革</w:t>
      </w:r>
      <w:bookmarkEnd w:id="25"/>
      <w:bookmarkEnd w:id="26"/>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bookmarkStart w:id="27" w:name="OLE_LINK34"/>
    </w:p>
    <w:bookmarkEnd w:id="27"/>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pPr>
      <w:r>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t>（三）建立对口支援机制。</w:t>
      </w:r>
      <w:bookmarkStart w:id="28" w:name="OLE_LINK85"/>
      <w:bookmarkStart w:id="29" w:name="OLE_LINK94"/>
      <w:bookmarkStart w:id="30" w:name="OLE_LINK44"/>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持续开展</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bidi="ar"/>
        </w:rPr>
        <w:t>区人民医院</w:t>
      </w:r>
      <w:r>
        <w:rPr>
          <w:rFonts w:hint="eastAsia"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bidi="ar"/>
        </w:rPr>
        <w:t>“</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bidi="ar"/>
        </w:rPr>
        <w:t>组团式</w:t>
      </w:r>
      <w:r>
        <w:rPr>
          <w:rFonts w:hint="eastAsia"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bidi="ar"/>
        </w:rPr>
        <w:t>”</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bidi="ar"/>
        </w:rPr>
        <w:t>帮扶城口县、区级医院与丰都县结对交流等工作</w:t>
      </w:r>
      <w:bookmarkEnd w:id="28"/>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bidi="ar"/>
        </w:rPr>
        <w:t>，强化对口帮扶。</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持续</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rPr>
        <w:t>选派区</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人民医院、区中医院等区级医院</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rPr>
        <w:t>专家对</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圣灯山景区</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rPr>
        <w:t>开展</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rPr>
        <w:t>潮汐式</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rPr>
        <w:t>医疗援助</w:t>
      </w:r>
      <w:bookmarkEnd w:id="29"/>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w:t>
      </w:r>
      <w:bookmarkEnd w:id="30"/>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pPr>
      <w:r>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t>（四）加强镇村一体化管理。</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将</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纳入镇村一体化的村卫生室，</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设置为乡镇卫生院的医疗延伸点，实行人财物等统一管理。对服务人口低于800人的行政村，且短期内招录不到合格村医的行政村，采取定期派驻、联合设置村卫生室的方式开展坐诊或巡诊服务，确保乡村两级医疗卫生机构及人员</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空白点</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全部动态清零。</w:t>
      </w:r>
      <w:bookmarkStart w:id="31" w:name="OLE_LINK7"/>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right="0" w:rightChars="0" w:firstLine="680" w:firstLineChars="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pPr>
      <w:bookmarkStart w:id="32" w:name="OLE_LINK46"/>
      <w:bookmarkStart w:id="33" w:name="OLE_LINK6"/>
      <w:r>
        <w:rPr>
          <w:rFonts w:hint="default" w:ascii="Times New Roman" w:hAnsi="Times New Roman" w:eastAsia="方正楷体_GBK" w:cs="Times New Roman"/>
          <w:b w:val="0"/>
          <w:bCs w:val="0"/>
          <w:snapToGrid w:val="0"/>
          <w:color w:val="auto"/>
          <w:spacing w:val="0"/>
          <w:kern w:val="0"/>
          <w:position w:val="0"/>
          <w:sz w:val="32"/>
          <w:szCs w:val="32"/>
          <w:highlight w:val="none"/>
          <w:u w:val="none" w:color="auto"/>
          <w:lang w:val="en-US" w:eastAsia="zh-CN" w:bidi="ar"/>
        </w:rPr>
        <w:t>（五）探索现代社区健康服务新模式。</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充分发挥牵头医院作用，</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在龙洲湾、莲花街道社区卫生服务中心开展试点，</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依托</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家医有约</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应用场景</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和</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区域数智健共体项目，创新家庭医生</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领域网格+区域网格</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双向双网融合服务方式，</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为居民提供连续规范、高效便捷的主动健康服务，不断</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提升基层健康治理能力</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，打造现代健康社区服务新模式，形成可复制、可推广经验后在全区推开</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。持续发挥村（居）委会公共卫生委员会作用，强化公共卫生服务融入基层社会治理体系</w:t>
      </w:r>
      <w:bookmarkEnd w:id="31"/>
      <w:bookmarkEnd w:id="32"/>
      <w:bookmarkEnd w:id="33"/>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bidi="ar"/>
        </w:rPr>
      </w:pPr>
      <w:r>
        <w:rPr>
          <w:rFonts w:hint="default" w:ascii="Times New Roman" w:hAnsi="Times New Roman" w:eastAsia="方正黑体_GBK" w:cs="Times New Roman"/>
          <w:snapToGrid w:val="0"/>
          <w:color w:val="auto"/>
          <w:spacing w:val="0"/>
          <w:kern w:val="0"/>
          <w:position w:val="0"/>
          <w:sz w:val="32"/>
          <w:szCs w:val="32"/>
          <w:highlight w:val="none"/>
          <w:u w:val="none" w:color="auto"/>
          <w:lang w:val="en-US" w:eastAsia="zh-CN" w:bidi="ar"/>
        </w:rPr>
        <w:t>三、健全区域医共体管理体制</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pPr>
      <w:r>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t>（六）健全区域医共体领导机制。</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建立区域医共体建设工作专班，由区政府主导，机构编制</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rPr>
        <w:t>、发展改革、财政、人力社保、</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农业农村、</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rPr>
        <w:t>卫生健康</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rPr>
        <w:t>医疗保障</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eastAsia="zh-CN"/>
        </w:rPr>
        <w:t>、市场监管等区级</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部门及乡镇、街道和区域医共体成员单位共同参与，统筹医共体相关重大事项。工作专班下设办公室在区卫生健康委，由区卫生健康委主要负责人担任办公室主任、相关部门分管负责人为成员，负责召集研究制定区域医共体相关政策、解决推进中的具体问题，统筹绩效考核和监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w w:val="100"/>
          <w:kern w:val="0"/>
          <w:position w:val="0"/>
          <w:sz w:val="32"/>
          <w:szCs w:val="32"/>
          <w:highlight w:val="none"/>
          <w:u w:val="none" w:color="auto"/>
          <w:lang w:eastAsia="zh-CN"/>
        </w:rPr>
      </w:pPr>
      <w:r>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t>（七）建强区域医共体管理机制。</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区卫生健康委整合卫生健康系统资源和力量，建强区域医共体管理专职队伍，推进区域医共体管理、信息化建设、</w:t>
      </w:r>
      <w:r>
        <w:rPr>
          <w:rFonts w:hint="default" w:ascii="Times New Roman" w:hAnsi="Times New Roman" w:eastAsia="方正仿宋_GBK" w:cs="Times New Roman"/>
          <w:strike w:val="0"/>
          <w:dstrike w:val="0"/>
          <w:snapToGrid w:val="0"/>
          <w:color w:val="auto"/>
          <w:spacing w:val="0"/>
          <w:kern w:val="0"/>
          <w:position w:val="0"/>
          <w:sz w:val="32"/>
          <w:szCs w:val="32"/>
          <w:highlight w:val="none"/>
          <w:u w:val="none" w:color="auto"/>
          <w:lang w:val="en-US" w:eastAsia="zh-CN"/>
        </w:rPr>
        <w:t>人员调配、资源调度、</w:t>
      </w:r>
      <w:r>
        <w:rPr>
          <w:rFonts w:hint="eastAsia"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eastAsia="zh-CN"/>
        </w:rPr>
        <w:t>资金池</w:t>
      </w:r>
      <w:r>
        <w:rPr>
          <w:rFonts w:hint="eastAsia"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eastAsia="zh-CN"/>
        </w:rPr>
        <w:t>建设等</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eastAsia="zh-CN"/>
        </w:rPr>
        <w:t>开展区域医共体运行监测分析、绩效评价、综合管理等日常工作。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bidi="ar"/>
        </w:rPr>
      </w:pPr>
      <w:r>
        <w:rPr>
          <w:rFonts w:hint="default" w:ascii="Times New Roman" w:hAnsi="Times New Roman" w:eastAsia="方正黑体_GBK" w:cs="Times New Roman"/>
          <w:snapToGrid w:val="0"/>
          <w:color w:val="auto"/>
          <w:spacing w:val="0"/>
          <w:kern w:val="0"/>
          <w:position w:val="0"/>
          <w:sz w:val="32"/>
          <w:szCs w:val="32"/>
          <w:highlight w:val="none"/>
          <w:u w:val="none" w:color="auto"/>
          <w:lang w:val="en-US" w:eastAsia="zh-CN" w:bidi="ar"/>
        </w:rPr>
        <w:t>四、完善区域医共体运行机制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pPr>
      <w:r>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t>（八）推进区域医共体管理</w:t>
      </w:r>
      <w:r>
        <w:rPr>
          <w:rFonts w:hint="eastAsia" w:ascii="Times New Roman" w:hAnsi="Times New Roman" w:eastAsia="方正楷体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楷体_GBK" w:cs="Times New Roman"/>
          <w:snapToGrid w:val="0"/>
          <w:color w:val="auto"/>
          <w:spacing w:val="0"/>
          <w:kern w:val="0"/>
          <w:position w:val="0"/>
          <w:sz w:val="32"/>
          <w:szCs w:val="32"/>
          <w:highlight w:val="none"/>
          <w:u w:val="none" w:color="auto"/>
          <w:lang w:val="en-US" w:eastAsia="zh-CN"/>
        </w:rPr>
        <w:t>六统一</w:t>
      </w:r>
      <w:r>
        <w:rPr>
          <w:rFonts w:hint="eastAsia" w:ascii="Times New Roman" w:hAnsi="Times New Roman" w:eastAsia="方正楷体_GBK" w:cs="Times New Roman"/>
          <w:snapToGrid w:val="0"/>
          <w:color w:val="auto"/>
          <w:spacing w:val="0"/>
          <w:kern w:val="0"/>
          <w:position w:val="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w w:val="100"/>
          <w:kern w:val="0"/>
          <w:position w:val="0"/>
          <w:sz w:val="32"/>
          <w:szCs w:val="32"/>
          <w:highlight w:val="none"/>
          <w:u w:val="none" w:color="auto"/>
          <w:lang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1</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统一组织管理。</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eastAsia="zh-CN"/>
        </w:rPr>
        <w:t>区域医共体成立理事会、监事会，</w:t>
      </w:r>
      <w:r>
        <w:rPr>
          <w:rFonts w:hint="default" w:ascii="Times New Roman" w:hAnsi="Times New Roman" w:eastAsia="方正仿宋_GBK" w:cs="Times New Roman"/>
          <w:strike w:val="0"/>
          <w:dstrike w:val="0"/>
          <w:snapToGrid w:val="0"/>
          <w:color w:val="auto"/>
          <w:spacing w:val="0"/>
          <w:kern w:val="0"/>
          <w:position w:val="0"/>
          <w:sz w:val="32"/>
          <w:szCs w:val="32"/>
          <w:highlight w:val="none"/>
          <w:u w:val="none" w:color="auto"/>
          <w:lang w:val="en-US" w:eastAsia="zh-CN"/>
        </w:rPr>
        <w:t>牵头医院制定区域医共体章程，建立</w:t>
      </w:r>
      <w:r>
        <w:rPr>
          <w:rFonts w:hint="default" w:ascii="Times New Roman" w:hAnsi="Times New Roman" w:eastAsia="方正仿宋_GBK" w:cs="Times New Roman"/>
          <w:snapToGrid w:val="0"/>
          <w:color w:val="auto"/>
          <w:spacing w:val="0"/>
          <w:kern w:val="0"/>
          <w:position w:val="0"/>
          <w:sz w:val="32"/>
          <w:szCs w:val="32"/>
          <w:highlight w:val="none"/>
          <w:u w:val="none" w:color="auto"/>
        </w:rPr>
        <w:t>定期协商议事决策制度</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trike w:val="0"/>
          <w:dstrike w:val="0"/>
          <w:snapToGrid w:val="0"/>
          <w:color w:val="auto"/>
          <w:spacing w:val="0"/>
          <w:kern w:val="0"/>
          <w:position w:val="0"/>
          <w:sz w:val="32"/>
          <w:szCs w:val="32"/>
          <w:highlight w:val="none"/>
          <w:u w:val="none" w:color="auto"/>
          <w:lang w:val="en-US" w:eastAsia="zh-CN"/>
        </w:rPr>
        <w:t>明确牵头医院和各成员单位</w:t>
      </w:r>
      <w:r>
        <w:rPr>
          <w:rFonts w:hint="default"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eastAsia="zh-CN"/>
        </w:rPr>
        <w:t>责任、权利、</w:t>
      </w:r>
      <w:r>
        <w:rPr>
          <w:rFonts w:hint="default"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val="en-US" w:eastAsia="zh-CN"/>
        </w:rPr>
        <w:t>义务、</w:t>
      </w:r>
      <w:r>
        <w:rPr>
          <w:rFonts w:hint="default"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eastAsia="zh-CN"/>
        </w:rPr>
        <w:t>功能定位</w:t>
      </w:r>
      <w:r>
        <w:rPr>
          <w:rFonts w:hint="default"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val="en-US" w:eastAsia="zh-CN"/>
        </w:rPr>
        <w:t>等。</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eastAsia="zh-CN"/>
        </w:rPr>
        <w:t>建立</w:t>
      </w:r>
      <w:r>
        <w:rPr>
          <w:rFonts w:hint="eastAsia" w:ascii="Times New Roman" w:hAnsi="Times New Roman" w:eastAsia="方正仿宋_GBK" w:cs="Times New Roman"/>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eastAsia="zh-CN"/>
        </w:rPr>
        <w:t>区卫生健康委</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−医共体理事会−牵头单位与其他成员单位</w:t>
      </w:r>
      <w:r>
        <w:rPr>
          <w:rFonts w:hint="eastAsia"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管理架构</w:t>
      </w:r>
      <w:r>
        <w:rPr>
          <w:rFonts w:hint="default" w:ascii="Times New Roman" w:hAnsi="Times New Roman" w:eastAsia="方正仿宋_GBK" w:cs="Times New Roman"/>
          <w:strike w:val="0"/>
          <w:dstrike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trike w:val="0"/>
          <w:dstrike w:val="0"/>
          <w:snapToGrid w:val="0"/>
          <w:color w:val="auto"/>
          <w:spacing w:val="0"/>
          <w:kern w:val="0"/>
          <w:position w:val="0"/>
          <w:sz w:val="32"/>
          <w:szCs w:val="32"/>
          <w:highlight w:val="none"/>
          <w:u w:val="none" w:color="auto"/>
          <w:lang w:eastAsia="zh-CN"/>
        </w:rPr>
        <w:t>保障区域医共体运行。</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rPr>
        <w:t>加强区域医共体内党组织建设，理顺党委与行政领导班子议事决策程序，发挥党委</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lang w:eastAsia="zh-CN"/>
        </w:rPr>
        <w:t>的领导作用。</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rPr>
        <w:t>选强配齐区域医共体负责人</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lang w:eastAsia="zh-CN"/>
        </w:rPr>
        <w:t>员</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rPr>
        <w:t>，</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lang w:eastAsia="zh-CN"/>
        </w:rPr>
        <w:t>选举</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rPr>
        <w:t>基层医疗卫生机构代表</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lang w:eastAsia="zh-CN"/>
        </w:rPr>
        <w:t>进入</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rPr>
        <w:t>理事会成员。区域医共体负责人、成员单位负责人和班子成员</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lang w:eastAsia="zh-CN"/>
        </w:rPr>
        <w:t>的任免事宜</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rPr>
        <w:t>，按照干部管理权限办理</w:t>
      </w:r>
      <w:r>
        <w:rPr>
          <w:rFonts w:hint="default" w:ascii="Times New Roman" w:hAnsi="Times New Roman" w:eastAsia="方正仿宋_GBK" w:cs="Times New Roman"/>
          <w:snapToGrid w:val="0"/>
          <w:color w:val="auto"/>
          <w:spacing w:val="0"/>
          <w:kern w:val="0"/>
          <w:positio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pPr>
      <w:bookmarkStart w:id="34" w:name="OLE_LINK50"/>
      <w:bookmarkStart w:id="35" w:name="OLE_LINK101"/>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2.</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统一人事管理。</w:t>
      </w:r>
      <w:r>
        <w:rPr>
          <w:rFonts w:hint="default" w:ascii="Times New Roman" w:hAnsi="Times New Roman" w:eastAsia="方正仿宋_GBK" w:cs="Times New Roman"/>
          <w:b w:val="0"/>
          <w:bCs w:val="0"/>
          <w:snapToGrid w:val="0"/>
          <w:spacing w:val="0"/>
          <w:kern w:val="0"/>
          <w:position w:val="0"/>
          <w:sz w:val="32"/>
          <w:szCs w:val="32"/>
          <w:highlight w:val="none"/>
          <w:u w:val="none" w:color="auto"/>
          <w:lang w:val="en-US" w:eastAsia="zh-CN"/>
        </w:rPr>
        <w:t>区卫生健康委</w:t>
      </w:r>
      <w:r>
        <w:rPr>
          <w:rFonts w:hint="default" w:ascii="Times New Roman" w:hAnsi="Times New Roman" w:eastAsia="方正仿宋_GBK" w:cs="Times New Roman"/>
          <w:b w:val="0"/>
          <w:bCs w:val="0"/>
          <w:snapToGrid w:val="0"/>
          <w:spacing w:val="0"/>
          <w:kern w:val="0"/>
          <w:position w:val="0"/>
          <w:sz w:val="32"/>
          <w:szCs w:val="32"/>
          <w:highlight w:val="none"/>
          <w:u w:val="none" w:color="auto"/>
          <w:lang w:val="en-US"/>
        </w:rPr>
        <w:t>根据基层医疗</w:t>
      </w:r>
      <w:r>
        <w:rPr>
          <w:rFonts w:hint="default" w:ascii="Times New Roman" w:hAnsi="Times New Roman" w:eastAsia="方正仿宋_GBK" w:cs="Times New Roman"/>
          <w:b w:val="0"/>
          <w:bCs w:val="0"/>
          <w:snapToGrid w:val="0"/>
          <w:spacing w:val="0"/>
          <w:kern w:val="0"/>
          <w:position w:val="0"/>
          <w:sz w:val="32"/>
          <w:szCs w:val="32"/>
          <w:highlight w:val="none"/>
          <w:u w:val="none" w:color="auto"/>
          <w:lang w:val="en-US" w:eastAsia="zh-CN"/>
        </w:rPr>
        <w:t>卫生</w:t>
      </w:r>
      <w:r>
        <w:rPr>
          <w:rFonts w:hint="default" w:ascii="Times New Roman" w:hAnsi="Times New Roman" w:eastAsia="方正仿宋_GBK" w:cs="Times New Roman"/>
          <w:b w:val="0"/>
          <w:bCs w:val="0"/>
          <w:snapToGrid w:val="0"/>
          <w:spacing w:val="0"/>
          <w:kern w:val="0"/>
          <w:position w:val="0"/>
          <w:sz w:val="32"/>
          <w:szCs w:val="32"/>
          <w:highlight w:val="none"/>
          <w:u w:val="none" w:color="auto"/>
          <w:lang w:val="en-US"/>
        </w:rPr>
        <w:t>机构服务人口、业务发展需要，提出动态调整基层医疗</w:t>
      </w:r>
      <w:r>
        <w:rPr>
          <w:rFonts w:hint="default" w:ascii="Times New Roman" w:hAnsi="Times New Roman" w:eastAsia="方正仿宋_GBK" w:cs="Times New Roman"/>
          <w:b w:val="0"/>
          <w:bCs w:val="0"/>
          <w:snapToGrid w:val="0"/>
          <w:spacing w:val="0"/>
          <w:kern w:val="0"/>
          <w:position w:val="0"/>
          <w:sz w:val="32"/>
          <w:szCs w:val="32"/>
          <w:highlight w:val="none"/>
          <w:u w:val="none" w:color="auto"/>
          <w:lang w:val="en-US" w:eastAsia="zh-CN"/>
        </w:rPr>
        <w:t>卫生</w:t>
      </w:r>
      <w:r>
        <w:rPr>
          <w:rFonts w:hint="default" w:ascii="Times New Roman" w:hAnsi="Times New Roman" w:eastAsia="方正仿宋_GBK" w:cs="Times New Roman"/>
          <w:b w:val="0"/>
          <w:bCs w:val="0"/>
          <w:snapToGrid w:val="0"/>
          <w:spacing w:val="0"/>
          <w:kern w:val="0"/>
          <w:position w:val="0"/>
          <w:sz w:val="32"/>
          <w:szCs w:val="32"/>
          <w:highlight w:val="none"/>
          <w:u w:val="none" w:color="auto"/>
          <w:lang w:val="en-US"/>
        </w:rPr>
        <w:t>机构编制建议，按程序报批后实施</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区域医共体牵头医院负责统筹调配成员单位的人员。拓展</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县聘乡用</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人员专业范围至药学、护理、医技等</w:t>
      </w:r>
      <w:bookmarkStart w:id="36" w:name="OLE_LINK51"/>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推进</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乡聘村用</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改革，</w:t>
      </w:r>
      <w:bookmarkEnd w:id="36"/>
      <w:bookmarkStart w:id="37" w:name="OLE_LINK52"/>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落实大学生乡村医生计划，组织乡村医生参加市、区级线上线下培训，</w:t>
      </w:r>
      <w:bookmarkEnd w:id="37"/>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持续提高执业医师比例。</w:t>
      </w:r>
      <w:bookmarkEnd w:id="34"/>
      <w:bookmarkEnd w:id="35"/>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rPr>
        <w:t>建立医防协同医防融合</w:t>
      </w:r>
      <w:r>
        <w:rPr>
          <w:rFonts w:hint="eastAsia"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eastAsia="zh-CN"/>
        </w:rPr>
        <w:t>双聘任</w:t>
      </w:r>
      <w:r>
        <w:rPr>
          <w:rFonts w:hint="eastAsia"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eastAsia="zh-CN"/>
        </w:rPr>
        <w:t>双流动</w:t>
      </w:r>
      <w:r>
        <w:rPr>
          <w:rFonts w:hint="eastAsia" w:ascii="Times New Roman" w:hAnsi="Times New Roman" w:eastAsia="方正仿宋_GBK" w:cs="Times New Roman"/>
          <w:b w:val="0"/>
          <w:bCs w:val="0"/>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eastAsia="zh-CN"/>
        </w:rPr>
        <w:t>制度，促进医防结合能力提升。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pPr>
      <w:bookmarkStart w:id="38" w:name="OLE_LINK55"/>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3</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统一财务管理。</w:t>
      </w:r>
      <w:r>
        <w:rPr>
          <w:rFonts w:hint="default" w:ascii="Times New Roman" w:hAnsi="Times New Roman" w:eastAsia="方正仿宋_GBK" w:cs="Times New Roman"/>
          <w:snapToGrid w:val="0"/>
          <w:color w:val="auto"/>
          <w:spacing w:val="0"/>
          <w:kern w:val="0"/>
          <w:position w:val="0"/>
          <w:sz w:val="32"/>
          <w:szCs w:val="32"/>
          <w:highlight w:val="none"/>
          <w:u w:val="none" w:color="auto"/>
          <w:lang w:bidi="ar"/>
        </w:rPr>
        <w:t>按照</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bidi="ar"/>
        </w:rPr>
        <w:t>“</w:t>
      </w:r>
      <w:r>
        <w:rPr>
          <w:rFonts w:hint="default" w:ascii="Times New Roman" w:hAnsi="Times New Roman" w:eastAsia="方正仿宋_GBK" w:cs="Times New Roman"/>
          <w:snapToGrid w:val="0"/>
          <w:color w:val="auto"/>
          <w:spacing w:val="0"/>
          <w:kern w:val="0"/>
          <w:position w:val="0"/>
          <w:sz w:val="32"/>
          <w:szCs w:val="32"/>
          <w:highlight w:val="none"/>
          <w:u w:val="none" w:color="auto"/>
        </w:rPr>
        <w:t>区级医疗</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卫生</w:t>
      </w:r>
      <w:r>
        <w:rPr>
          <w:rFonts w:hint="default" w:ascii="Times New Roman" w:hAnsi="Times New Roman" w:eastAsia="方正仿宋_GBK" w:cs="Times New Roman"/>
          <w:snapToGrid w:val="0"/>
          <w:color w:val="auto"/>
          <w:spacing w:val="0"/>
          <w:kern w:val="0"/>
          <w:position w:val="0"/>
          <w:sz w:val="32"/>
          <w:szCs w:val="32"/>
          <w:highlight w:val="none"/>
          <w:u w:val="none" w:color="auto"/>
        </w:rPr>
        <w:t>机构和基层医疗卫生机构各出资一点，区财政补助一点</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bidi="ar"/>
        </w:rPr>
        <w:t>的原则，</w:t>
      </w:r>
      <w:r>
        <w:rPr>
          <w:rStyle w:val="19"/>
          <w:rFonts w:hint="default" w:ascii="Times New Roman" w:hAnsi="Times New Roman" w:eastAsia="方正仿宋_GBK" w:cs="Times New Roman"/>
          <w:snapToGrid w:val="0"/>
          <w:color w:val="auto"/>
          <w:spacing w:val="0"/>
          <w:kern w:val="0"/>
          <w:position w:val="0"/>
          <w:sz w:val="32"/>
          <w:szCs w:val="32"/>
          <w:highlight w:val="none"/>
          <w:u w:val="none" w:color="auto"/>
        </w:rPr>
        <w:t>设立医疗卫生单位发展</w:t>
      </w:r>
      <w:r>
        <w:rPr>
          <w:rStyle w:val="19"/>
          <w:rFonts w:hint="eastAsia" w:ascii="Times New Roman" w:hAnsi="Times New Roman" w:eastAsia="方正仿宋_GBK" w:cs="Times New Roman"/>
          <w:snapToGrid w:val="0"/>
          <w:color w:val="auto"/>
          <w:spacing w:val="0"/>
          <w:kern w:val="0"/>
          <w:position w:val="0"/>
          <w:sz w:val="32"/>
          <w:szCs w:val="32"/>
          <w:highlight w:val="none"/>
          <w:u w:val="none" w:color="auto"/>
        </w:rPr>
        <w:t>“</w:t>
      </w:r>
      <w:r>
        <w:rPr>
          <w:rStyle w:val="19"/>
          <w:rFonts w:hint="default" w:ascii="Times New Roman" w:hAnsi="Times New Roman" w:eastAsia="方正仿宋_GBK" w:cs="Times New Roman"/>
          <w:snapToGrid w:val="0"/>
          <w:color w:val="auto"/>
          <w:spacing w:val="0"/>
          <w:kern w:val="0"/>
          <w:position w:val="0"/>
          <w:sz w:val="32"/>
          <w:szCs w:val="32"/>
          <w:highlight w:val="none"/>
          <w:u w:val="none" w:color="auto"/>
        </w:rPr>
        <w:t>资金池</w:t>
      </w:r>
      <w:r>
        <w:rPr>
          <w:rStyle w:val="19"/>
          <w:rFonts w:hint="eastAsia" w:ascii="Times New Roman" w:hAnsi="Times New Roman" w:eastAsia="方正仿宋_GBK" w:cs="Times New Roman"/>
          <w:snapToGrid w:val="0"/>
          <w:color w:val="auto"/>
          <w:spacing w:val="0"/>
          <w:kern w:val="0"/>
          <w:position w:val="0"/>
          <w:sz w:val="32"/>
          <w:szCs w:val="32"/>
          <w:highlight w:val="none"/>
          <w:u w:val="none" w:color="auto"/>
        </w:rPr>
        <w:t>”</w:t>
      </w:r>
      <w:r>
        <w:rPr>
          <w:rStyle w:val="19"/>
          <w:rFonts w:hint="default" w:ascii="Times New Roman" w:hAnsi="Times New Roman" w:eastAsia="方正仿宋_GBK" w:cs="Times New Roman"/>
          <w:snapToGrid w:val="0"/>
          <w:color w:val="auto"/>
          <w:spacing w:val="0"/>
          <w:kern w:val="0"/>
          <w:position w:val="0"/>
          <w:sz w:val="32"/>
          <w:szCs w:val="32"/>
          <w:highlight w:val="none"/>
          <w:u w:val="none" w:color="auto"/>
        </w:rPr>
        <w:t>和医共体技术服务协作</w:t>
      </w:r>
      <w:r>
        <w:rPr>
          <w:rStyle w:val="19"/>
          <w:rFonts w:hint="eastAsia" w:ascii="Times New Roman" w:hAnsi="Times New Roman" w:eastAsia="方正仿宋_GBK" w:cs="Times New Roman"/>
          <w:snapToGrid w:val="0"/>
          <w:color w:val="auto"/>
          <w:spacing w:val="0"/>
          <w:kern w:val="0"/>
          <w:position w:val="0"/>
          <w:sz w:val="32"/>
          <w:szCs w:val="32"/>
          <w:highlight w:val="none"/>
          <w:u w:val="none" w:color="auto"/>
        </w:rPr>
        <w:t>“</w:t>
      </w:r>
      <w:r>
        <w:rPr>
          <w:rStyle w:val="19"/>
          <w:rFonts w:hint="default" w:ascii="Times New Roman" w:hAnsi="Times New Roman" w:eastAsia="方正仿宋_GBK" w:cs="Times New Roman"/>
          <w:snapToGrid w:val="0"/>
          <w:color w:val="auto"/>
          <w:spacing w:val="0"/>
          <w:kern w:val="0"/>
          <w:position w:val="0"/>
          <w:sz w:val="32"/>
          <w:szCs w:val="32"/>
          <w:highlight w:val="none"/>
          <w:u w:val="none" w:color="auto"/>
        </w:rPr>
        <w:t>资金池</w:t>
      </w:r>
      <w:r>
        <w:rPr>
          <w:rStyle w:val="19"/>
          <w:rFonts w:hint="eastAsia" w:ascii="Times New Roman" w:hAnsi="Times New Roman" w:eastAsia="方正仿宋_GBK" w:cs="Times New Roman"/>
          <w:snapToGrid w:val="0"/>
          <w:color w:val="auto"/>
          <w:spacing w:val="0"/>
          <w:kern w:val="0"/>
          <w:position w:val="0"/>
          <w:sz w:val="32"/>
          <w:szCs w:val="32"/>
          <w:highlight w:val="none"/>
          <w:u w:val="none" w:color="auto"/>
        </w:rPr>
        <w:t>”</w:t>
      </w:r>
      <w:r>
        <w:rPr>
          <w:rStyle w:val="19"/>
          <w:rFonts w:hint="default" w:ascii="Times New Roman" w:hAnsi="Times New Roman" w:eastAsia="方正仿宋_GBK" w:cs="Times New Roman"/>
          <w:snapToGrid w:val="0"/>
          <w:color w:val="auto"/>
          <w:spacing w:val="0"/>
          <w:kern w:val="0"/>
          <w:position w:val="0"/>
          <w:sz w:val="32"/>
          <w:szCs w:val="32"/>
          <w:highlight w:val="none"/>
          <w:u w:val="none" w:color="auto"/>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bidi="ar"/>
        </w:rPr>
        <w:t>统筹用于基层医疗卫生机构发展。</w:t>
      </w:r>
      <w:r>
        <w:rPr>
          <w:rFonts w:hint="default" w:ascii="Times New Roman" w:hAnsi="Times New Roman" w:eastAsia="方正仿宋_GBK" w:cs="Times New Roman"/>
          <w:i w:val="0"/>
          <w:iCs w:val="0"/>
          <w:caps w:val="0"/>
          <w:strike w:val="0"/>
          <w:dstrike w:val="0"/>
          <w:snapToGrid w:val="0"/>
          <w:color w:val="auto"/>
          <w:spacing w:val="0"/>
          <w:kern w:val="0"/>
          <w:position w:val="0"/>
          <w:sz w:val="32"/>
          <w:szCs w:val="32"/>
          <w:highlight w:val="none"/>
          <w:u w:val="none" w:color="auto"/>
          <w:shd w:val="clear" w:color="auto" w:fill="FFFFFF"/>
        </w:rPr>
        <w:t>探索在接龙镇</w:t>
      </w:r>
      <w:r>
        <w:rPr>
          <w:rFonts w:hint="default" w:ascii="Times New Roman" w:hAnsi="Times New Roman" w:eastAsia="方正仿宋_GBK" w:cs="Times New Roman"/>
          <w:i w:val="0"/>
          <w:iCs w:val="0"/>
          <w:caps w:val="0"/>
          <w:strike w:val="0"/>
          <w:dstrike w:val="0"/>
          <w:snapToGrid w:val="0"/>
          <w:color w:val="auto"/>
          <w:spacing w:val="0"/>
          <w:kern w:val="0"/>
          <w:position w:val="0"/>
          <w:sz w:val="32"/>
          <w:szCs w:val="32"/>
          <w:highlight w:val="none"/>
          <w:u w:val="none" w:color="auto"/>
          <w:shd w:val="clear" w:color="auto" w:fill="FFFFFF"/>
          <w:lang w:eastAsia="zh-CN"/>
        </w:rPr>
        <w:t>中心卫生院医疗卫生次中心</w:t>
      </w:r>
      <w:r>
        <w:rPr>
          <w:rFonts w:hint="default" w:ascii="Times New Roman" w:hAnsi="Times New Roman" w:eastAsia="方正仿宋_GBK" w:cs="Times New Roman"/>
          <w:i w:val="0"/>
          <w:iCs w:val="0"/>
          <w:caps w:val="0"/>
          <w:strike w:val="0"/>
          <w:dstrike w:val="0"/>
          <w:snapToGrid w:val="0"/>
          <w:color w:val="auto"/>
          <w:spacing w:val="0"/>
          <w:kern w:val="0"/>
          <w:position w:val="0"/>
          <w:sz w:val="32"/>
          <w:szCs w:val="32"/>
          <w:highlight w:val="none"/>
          <w:u w:val="none" w:color="auto"/>
          <w:shd w:val="clear" w:color="auto" w:fill="FFFFFF"/>
        </w:rPr>
        <w:t>设置财务</w:t>
      </w:r>
      <w:r>
        <w:rPr>
          <w:rFonts w:hint="default" w:ascii="Times New Roman" w:hAnsi="Times New Roman" w:eastAsia="方正仿宋_GBK" w:cs="Times New Roman"/>
          <w:i w:val="0"/>
          <w:iCs w:val="0"/>
          <w:caps w:val="0"/>
          <w:strike w:val="0"/>
          <w:dstrike w:val="0"/>
          <w:snapToGrid w:val="0"/>
          <w:color w:val="auto"/>
          <w:spacing w:val="0"/>
          <w:kern w:val="0"/>
          <w:position w:val="0"/>
          <w:sz w:val="32"/>
          <w:szCs w:val="32"/>
          <w:highlight w:val="none"/>
          <w:u w:val="none" w:color="auto"/>
          <w:shd w:val="clear" w:color="auto" w:fill="FFFFFF"/>
          <w:lang w:eastAsia="zh-CN"/>
        </w:rPr>
        <w:t>核算</w:t>
      </w:r>
      <w:r>
        <w:rPr>
          <w:rFonts w:hint="default" w:ascii="Times New Roman" w:hAnsi="Times New Roman" w:eastAsia="方正仿宋_GBK" w:cs="Times New Roman"/>
          <w:i w:val="0"/>
          <w:iCs w:val="0"/>
          <w:caps w:val="0"/>
          <w:strike w:val="0"/>
          <w:dstrike w:val="0"/>
          <w:snapToGrid w:val="0"/>
          <w:color w:val="auto"/>
          <w:spacing w:val="0"/>
          <w:kern w:val="0"/>
          <w:position w:val="0"/>
          <w:sz w:val="32"/>
          <w:szCs w:val="32"/>
          <w:highlight w:val="none"/>
          <w:u w:val="none" w:color="auto"/>
          <w:shd w:val="clear" w:color="auto" w:fill="FFFFFF"/>
        </w:rPr>
        <w:t>中心，</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rPr>
        <w:t>对成员单位单独设账、集中核算，以点带面逐步推开</w:t>
      </w:r>
      <w:r>
        <w:rPr>
          <w:rFonts w:hint="default" w:ascii="Times New Roman" w:hAnsi="Times New Roman" w:eastAsia="方正仿宋_GBK" w:cs="Times New Roman"/>
          <w:i w:val="0"/>
          <w:iCs w:val="0"/>
          <w:caps w:val="0"/>
          <w:snapToGrid w:val="0"/>
          <w:color w:val="auto"/>
          <w:spacing w:val="0"/>
          <w:kern w:val="0"/>
          <w:position w:val="0"/>
          <w:sz w:val="32"/>
          <w:szCs w:val="32"/>
          <w:highlight w:val="none"/>
          <w:u w:val="none" w:color="auto"/>
          <w:shd w:val="clear" w:color="auto" w:fill="FFFFFF"/>
          <w:lang w:eastAsia="zh-CN"/>
        </w:rPr>
        <w:t>。</w:t>
      </w:r>
      <w:bookmarkEnd w:id="38"/>
      <w:r>
        <w:rPr>
          <w:rFonts w:hint="default" w:ascii="Times New Roman" w:hAnsi="Times New Roman" w:eastAsia="方正仿宋_GBK" w:cs="Times New Roman"/>
          <w:snapToGrid w:val="0"/>
          <w:color w:val="auto"/>
          <w:spacing w:val="0"/>
          <w:kern w:val="0"/>
          <w:position w:val="0"/>
          <w:sz w:val="32"/>
          <w:szCs w:val="32"/>
          <w:u w:val="none" w:color="auto"/>
        </w:rPr>
        <w:t>区域医共体内部</w:t>
      </w:r>
      <w:r>
        <w:rPr>
          <w:rFonts w:hint="default" w:ascii="Times New Roman" w:hAnsi="Times New Roman" w:eastAsia="方正仿宋_GBK" w:cs="Times New Roman"/>
          <w:snapToGrid w:val="0"/>
          <w:color w:val="auto"/>
          <w:spacing w:val="0"/>
          <w:kern w:val="0"/>
          <w:position w:val="0"/>
          <w:sz w:val="32"/>
          <w:szCs w:val="32"/>
          <w:u w:val="none" w:color="auto"/>
          <w:lang w:eastAsia="zh-CN"/>
        </w:rPr>
        <w:t>每年至少</w:t>
      </w:r>
      <w:r>
        <w:rPr>
          <w:rFonts w:hint="default" w:ascii="Times New Roman" w:hAnsi="Times New Roman" w:eastAsia="方正仿宋_GBK" w:cs="Times New Roman"/>
          <w:snapToGrid w:val="0"/>
          <w:color w:val="auto"/>
          <w:spacing w:val="0"/>
          <w:kern w:val="0"/>
          <w:position w:val="0"/>
          <w:sz w:val="32"/>
          <w:szCs w:val="32"/>
          <w:u w:val="none" w:color="auto"/>
        </w:rPr>
        <w:t>要</w:t>
      </w:r>
      <w:r>
        <w:rPr>
          <w:rFonts w:hint="default" w:ascii="Times New Roman" w:hAnsi="Times New Roman" w:eastAsia="方正仿宋_GBK" w:cs="Times New Roman"/>
          <w:snapToGrid w:val="0"/>
          <w:color w:val="auto"/>
          <w:spacing w:val="0"/>
          <w:kern w:val="0"/>
          <w:position w:val="0"/>
          <w:sz w:val="32"/>
          <w:szCs w:val="32"/>
          <w:u w:val="none" w:color="auto"/>
          <w:lang w:eastAsia="zh-CN"/>
        </w:rPr>
        <w:t>开展一次</w:t>
      </w:r>
      <w:r>
        <w:rPr>
          <w:rFonts w:hint="default" w:ascii="Times New Roman" w:hAnsi="Times New Roman" w:eastAsia="方正仿宋_GBK" w:cs="Times New Roman"/>
          <w:snapToGrid w:val="0"/>
          <w:color w:val="auto"/>
          <w:spacing w:val="0"/>
          <w:kern w:val="0"/>
          <w:position w:val="0"/>
          <w:sz w:val="32"/>
          <w:szCs w:val="32"/>
          <w:u w:val="none" w:color="auto"/>
        </w:rPr>
        <w:t>经济运行分析，合理控制成本</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w w:val="100"/>
          <w:kern w:val="0"/>
          <w:position w:val="0"/>
          <w:sz w:val="32"/>
          <w:szCs w:val="32"/>
          <w:highlight w:val="none"/>
          <w:u w:val="none" w:color="auto"/>
          <w:lang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4</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统一业务管理。</w:t>
      </w:r>
      <w:r>
        <w:rPr>
          <w:rFonts w:hint="default" w:ascii="Times New Roman" w:hAnsi="Times New Roman" w:eastAsia="方正仿宋_GBK" w:cs="Times New Roman"/>
          <w:snapToGrid w:val="0"/>
          <w:color w:val="auto"/>
          <w:spacing w:val="0"/>
          <w:kern w:val="0"/>
          <w:position w:val="0"/>
          <w:sz w:val="32"/>
          <w:szCs w:val="32"/>
          <w:highlight w:val="none"/>
          <w:u w:val="none" w:color="auto"/>
          <w:lang w:bidi="ar"/>
        </w:rPr>
        <w:t>区域医共体</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bidi="ar"/>
        </w:rPr>
        <w:t>牵头单位</w:t>
      </w:r>
      <w:r>
        <w:rPr>
          <w:rFonts w:hint="default" w:ascii="Times New Roman" w:hAnsi="Times New Roman" w:eastAsia="方正仿宋_GBK" w:cs="Times New Roman"/>
          <w:snapToGrid w:val="0"/>
          <w:color w:val="auto"/>
          <w:spacing w:val="0"/>
          <w:kern w:val="0"/>
          <w:position w:val="0"/>
          <w:sz w:val="32"/>
          <w:szCs w:val="32"/>
          <w:highlight w:val="none"/>
          <w:u w:val="none" w:color="auto"/>
          <w:lang w:bidi="ar"/>
        </w:rPr>
        <w:t>统筹设置医务、院感、护理、药事、住院服务、患者转诊、公共卫生等部门管理中心，推进医疗服务、医疗质量、医疗安全等同质化管理。根据医疗机构功能定位制定双向转诊目录与标准，建立</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bidi="ar"/>
        </w:rPr>
        <w:t>区域医共体</w:t>
      </w:r>
      <w:r>
        <w:rPr>
          <w:rFonts w:hint="default" w:ascii="Times New Roman" w:hAnsi="Times New Roman" w:eastAsia="方正仿宋_GBK" w:cs="Times New Roman"/>
          <w:snapToGrid w:val="0"/>
          <w:color w:val="auto"/>
          <w:spacing w:val="0"/>
          <w:kern w:val="0"/>
          <w:position w:val="0"/>
          <w:sz w:val="32"/>
          <w:szCs w:val="32"/>
          <w:highlight w:val="none"/>
          <w:u w:val="none" w:color="auto"/>
          <w:lang w:bidi="ar"/>
        </w:rPr>
        <w:t>内双向转诊绿色通道，逐步实现有序合理转诊。</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bidi="ar"/>
        </w:rPr>
        <w:t>医共体牵头单位</w:t>
      </w:r>
      <w:r>
        <w:rPr>
          <w:rFonts w:hint="default" w:ascii="Times New Roman" w:hAnsi="Times New Roman" w:eastAsia="方正仿宋_GBK" w:cs="Times New Roman"/>
          <w:snapToGrid w:val="0"/>
          <w:color w:val="auto"/>
          <w:spacing w:val="0"/>
          <w:kern w:val="0"/>
          <w:position w:val="0"/>
          <w:sz w:val="32"/>
          <w:szCs w:val="32"/>
          <w:highlight w:val="none"/>
          <w:u w:val="none" w:color="auto"/>
        </w:rPr>
        <w:t>将至少1/3的门诊号源和1/4的住院床位向家庭医生签约服务团队或基层医疗卫生机构下沉</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p>
    <w:bookmarkEnd w:id="8"/>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w w:val="100"/>
          <w:kern w:val="0"/>
          <w:position w:val="0"/>
          <w:sz w:val="32"/>
          <w:szCs w:val="32"/>
          <w:highlight w:val="none"/>
          <w:u w:val="none" w:color="auto"/>
          <w:lang w:val="en-US"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5</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统一绩效管理。</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rPr>
        <w:t>健</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全</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区域</w:t>
      </w:r>
      <w:r>
        <w:rPr>
          <w:rFonts w:hint="default" w:ascii="Times New Roman" w:hAnsi="Times New Roman" w:eastAsia="方正仿宋_GBK" w:cs="Times New Roman"/>
          <w:snapToGrid w:val="0"/>
          <w:color w:val="auto"/>
          <w:spacing w:val="0"/>
          <w:kern w:val="0"/>
          <w:position w:val="0"/>
          <w:sz w:val="32"/>
          <w:szCs w:val="32"/>
          <w:highlight w:val="none"/>
          <w:u w:val="none" w:color="auto"/>
        </w:rPr>
        <w:t>医共体</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绩效评价</w:t>
      </w:r>
      <w:r>
        <w:rPr>
          <w:rFonts w:hint="default" w:ascii="Times New Roman" w:hAnsi="Times New Roman" w:eastAsia="方正仿宋_GBK" w:cs="Times New Roman"/>
          <w:snapToGrid w:val="0"/>
          <w:color w:val="auto"/>
          <w:spacing w:val="0"/>
          <w:kern w:val="0"/>
          <w:position w:val="0"/>
          <w:sz w:val="32"/>
          <w:szCs w:val="32"/>
          <w:highlight w:val="none"/>
          <w:u w:val="none" w:color="auto"/>
        </w:rPr>
        <w:t>机制</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。在</w:t>
      </w:r>
      <w:r>
        <w:rPr>
          <w:rFonts w:hint="default" w:ascii="Times New Roman" w:hAnsi="Times New Roman" w:eastAsia="方正仿宋_GBK" w:cs="Times New Roman"/>
          <w:snapToGrid w:val="0"/>
          <w:color w:val="auto"/>
          <w:spacing w:val="0"/>
          <w:kern w:val="0"/>
          <w:position w:val="0"/>
          <w:sz w:val="32"/>
          <w:szCs w:val="32"/>
          <w:highlight w:val="none"/>
          <w:u w:val="none" w:color="auto"/>
        </w:rPr>
        <w:t>资源下沉、巡诊派驻、家庭医生签约、成本控制、群众健康等方面</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加大考核权重，</w:t>
      </w:r>
      <w:r>
        <w:rPr>
          <w:rFonts w:hint="default" w:ascii="Times New Roman" w:hAnsi="Times New Roman" w:eastAsia="方正仿宋_GBK" w:cs="Times New Roman"/>
          <w:snapToGrid w:val="0"/>
          <w:color w:val="auto"/>
          <w:spacing w:val="0"/>
          <w:kern w:val="0"/>
          <w:position w:val="0"/>
          <w:sz w:val="32"/>
          <w:szCs w:val="32"/>
          <w:highlight w:val="none"/>
          <w:u w:val="none" w:color="auto"/>
        </w:rPr>
        <w:t>考核结果与公共卫生服务经费补助、医保基金支付、绩效工资总量核定以及负责人员薪酬、任免、奖惩等挂钩。合理确定医保基金结余留用收入、绩效工资等在成员单位中的分配，建立长效激励机制。</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kern w:val="0"/>
          <w:position w:val="0"/>
          <w:sz w:val="32"/>
          <w:szCs w:val="32"/>
          <w:highlight w:val="none"/>
          <w:u w:val="none" w:color="auto"/>
          <w:lang w:val="en-US"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6.</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统一后勤管理。</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建立医共体</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项目库</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设备库</w:t>
      </w:r>
      <w:r>
        <w:rPr>
          <w:rFonts w:hint="eastAsia"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，医共体牵头医院统筹医疗卫生机构基本建设、房屋设施维修、医废收集处理、医用物品消毒洗涤和医疗设备采购配置，推动医疗设备以旧换新、循环利用等，提高资源配置和使用效率。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楷体_GBK" w:cs="Times New Roman"/>
          <w:snapToGrid w:val="0"/>
          <w:color w:val="auto"/>
          <w:spacing w:val="0"/>
          <w:w w:val="100"/>
          <w:kern w:val="0"/>
          <w:position w:val="0"/>
          <w:sz w:val="32"/>
          <w:szCs w:val="32"/>
          <w:highlight w:val="none"/>
          <w:u w:val="none" w:color="auto"/>
          <w:lang w:val="en-US" w:eastAsia="zh-CN"/>
        </w:rPr>
      </w:pPr>
      <w:r>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t>（九）</w:t>
      </w:r>
      <w:bookmarkStart w:id="39" w:name="OLE_LINK128"/>
      <w:r>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t>统筹推进全区信息化建设</w:t>
      </w:r>
      <w:bookmarkEnd w:id="39"/>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1.推进</w:t>
      </w:r>
      <w:r>
        <w:rPr>
          <w:rFonts w:hint="default" w:ascii="Times New Roman" w:hAnsi="Times New Roman" w:eastAsia="方正仿宋_GBK" w:cs="Times New Roman"/>
          <w:b w:val="0"/>
          <w:bCs w:val="0"/>
          <w:strike w:val="0"/>
          <w:dstrike w:val="0"/>
          <w:snapToGrid w:val="0"/>
          <w:color w:val="auto"/>
          <w:spacing w:val="0"/>
          <w:w w:val="100"/>
          <w:kern w:val="0"/>
          <w:position w:val="0"/>
          <w:sz w:val="32"/>
          <w:szCs w:val="32"/>
          <w:highlight w:val="none"/>
          <w:u w:val="none" w:color="auto"/>
          <w:lang w:val="en-US" w:eastAsia="zh-CN"/>
        </w:rPr>
        <w:t>智慧医疗应用</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bookmarkStart w:id="40" w:name="OLE_LINK10"/>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依托区域医疗数智健共体项目，医共体牵头单位探索建立区域远程医疗服务，实现远程会诊（及时门诊）、</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双向转诊等功能。</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建成4家</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互联网医院，实现网上预约挂号、慢病复诊等服务。发展医护调度平台应用，通过互联网</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+护理等诊疗新模式，为有需求的老年人或行动不便的居家患者提供医护上门及巡诊等</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多元化医疗服务。</w:t>
      </w:r>
      <w:bookmarkEnd w:id="40"/>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w w:val="100"/>
          <w:kern w:val="0"/>
          <w:position w:val="0"/>
          <w:sz w:val="32"/>
          <w:szCs w:val="32"/>
          <w:highlight w:val="none"/>
          <w:u w:val="none" w:color="auto"/>
          <w:lang w:val="en-US"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2.</w:t>
      </w:r>
      <w:bookmarkStart w:id="41" w:name="OLE_LINK129"/>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推进智慧应急应用</w:t>
      </w:r>
      <w:bookmarkEnd w:id="41"/>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。强</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化医疗卫生单位对</w:t>
      </w:r>
      <w:r>
        <w:rPr>
          <w:rFonts w:hint="eastAsia"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社会</w:t>
      </w:r>
      <w:r>
        <w:rPr>
          <w:rFonts w:hint="eastAsia" w:ascii="方正仿宋_GBK" w:hAnsi="方正仿宋_GBK" w:eastAsia="方正仿宋_GBK" w:cs="方正仿宋_GBK"/>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渝悦</w:t>
      </w:r>
      <w:r>
        <w:rPr>
          <w:rFonts w:hint="eastAsia" w:ascii="方正仿宋_GBK" w:hAnsi="方正仿宋_GBK" w:eastAsia="方正仿宋_GBK" w:cs="方正仿宋_GBK"/>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疫智防控</w:t>
      </w:r>
      <w:r>
        <w:rPr>
          <w:rFonts w:hint="eastAsia"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应用，提升传染病风险感知、预警预判和应急指挥调度能力。承接市级</w:t>
      </w:r>
      <w:r>
        <w:rPr>
          <w:rFonts w:hint="eastAsia"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社会</w:t>
      </w:r>
      <w:r>
        <w:rPr>
          <w:rFonts w:hint="eastAsia" w:ascii="方正仿宋_GBK" w:hAnsi="方正仿宋_GBK" w:eastAsia="方正仿宋_GBK" w:cs="方正仿宋_GBK"/>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渝悦</w:t>
      </w:r>
      <w:r>
        <w:rPr>
          <w:rFonts w:hint="eastAsia" w:ascii="方正仿宋_GBK" w:hAnsi="方正仿宋_GBK" w:eastAsia="方正仿宋_GBK" w:cs="方正仿宋_GBK"/>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智慧急救</w:t>
      </w:r>
      <w:r>
        <w:rPr>
          <w:rFonts w:hint="eastAsia"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w w:val="100"/>
          <w:kern w:val="0"/>
          <w:position w:val="0"/>
          <w:sz w:val="32"/>
          <w:szCs w:val="32"/>
          <w:highlight w:val="none"/>
          <w:u w:val="none" w:color="auto"/>
          <w:lang w:val="en-US" w:eastAsia="zh-CN"/>
        </w:rPr>
        <w:t>应用，统一接入市120调度平台，实现院前急救同质化管理，提升院前急救效率和能力。</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3.推进智慧管理应用。依托区域医疗数智健共体项目</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bidi="ar-SA"/>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推进</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一人一码一档</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应用，</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bidi="ar-SA"/>
        </w:rPr>
        <w:t>实现本地与市级业务管理系统信息互通</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，居民可通过</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渝康健</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应用查询涵盖医疗服务和公共卫生信息的电子健康档案；建立区域处方前置审核系统，完善审方机制，组建集中审方队伍，开展处方点评和用药指导，提升区域药事管理同质化水平</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；牵头单位探索建立区域医共体中心药房，</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rPr>
        <w:t>推进</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eastAsia="zh-CN"/>
        </w:rPr>
        <w:t>区域内慢性病</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rPr>
        <w:t>上下级用药衔接，</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eastAsia="zh-CN"/>
        </w:rPr>
        <w:t>推进电子</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rPr>
        <w:t>处方</w:t>
      </w:r>
      <w:r>
        <w:rPr>
          <w:rFonts w:hint="default" w:ascii="Times New Roman" w:hAnsi="Times New Roman" w:eastAsia="方正仿宋_GBK" w:cs="Times New Roman"/>
          <w:b w:val="0"/>
          <w:bCs w:val="0"/>
          <w:snapToGrid w:val="0"/>
          <w:color w:val="auto"/>
          <w:spacing w:val="0"/>
          <w:kern w:val="0"/>
          <w:position w:val="0"/>
          <w:sz w:val="32"/>
          <w:szCs w:val="32"/>
          <w:highlight w:val="none"/>
          <w:u w:val="none" w:color="auto"/>
          <w:lang w:eastAsia="zh-CN"/>
        </w:rPr>
        <w:t>流转、短</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缺药登记和配送服务。</w:t>
      </w:r>
      <w:bookmarkStart w:id="42" w:name="OLE_LINK153"/>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eastAsia="zh-CN"/>
        </w:rPr>
        <w:t>积极推动区中医院统筹建立全区智慧中药房。</w:t>
      </w:r>
      <w:bookmarkEnd w:id="42"/>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楷体_GBK" w:cs="Times New Roman"/>
          <w:b w:val="0"/>
          <w:bCs w:val="0"/>
          <w:snapToGrid w:val="0"/>
          <w:color w:val="auto"/>
          <w:spacing w:val="0"/>
          <w:w w:val="100"/>
          <w:kern w:val="0"/>
          <w:position w:val="0"/>
          <w:sz w:val="32"/>
          <w:szCs w:val="32"/>
          <w:highlight w:val="none"/>
          <w:u w:val="none" w:color="auto"/>
          <w:lang w:eastAsia="zh-CN"/>
        </w:rPr>
      </w:pPr>
      <w:r>
        <w:rPr>
          <w:rFonts w:hint="default" w:ascii="Times New Roman" w:hAnsi="Times New Roman" w:eastAsia="方正楷体_GBK" w:cs="Times New Roman"/>
          <w:b w:val="0"/>
          <w:bCs w:val="0"/>
          <w:snapToGrid w:val="0"/>
          <w:color w:val="auto"/>
          <w:spacing w:val="0"/>
          <w:w w:val="100"/>
          <w:kern w:val="0"/>
          <w:position w:val="0"/>
          <w:sz w:val="32"/>
          <w:szCs w:val="32"/>
          <w:highlight w:val="none"/>
          <w:u w:val="none" w:color="auto"/>
          <w:lang w:eastAsia="zh-CN"/>
        </w:rPr>
        <w:t>（十）建立</w:t>
      </w:r>
      <w:r>
        <w:rPr>
          <w:rFonts w:hint="default" w:ascii="Times New Roman" w:hAnsi="Times New Roman" w:eastAsia="方正楷体_GBK" w:cs="Times New Roman"/>
          <w:b w:val="0"/>
          <w:bCs w:val="0"/>
          <w:strike w:val="0"/>
          <w:dstrike w:val="0"/>
          <w:snapToGrid w:val="0"/>
          <w:color w:val="auto"/>
          <w:spacing w:val="0"/>
          <w:w w:val="100"/>
          <w:kern w:val="0"/>
          <w:position w:val="0"/>
          <w:sz w:val="32"/>
          <w:szCs w:val="32"/>
          <w:highlight w:val="none"/>
          <w:u w:val="none" w:color="auto"/>
          <w:lang w:eastAsia="zh-CN"/>
        </w:rPr>
        <w:t>完善全区</w:t>
      </w:r>
      <w:r>
        <w:rPr>
          <w:rFonts w:hint="eastAsia" w:ascii="Times New Roman" w:hAnsi="Times New Roman" w:eastAsia="方正楷体_GBK" w:cs="Times New Roman"/>
          <w:b w:val="0"/>
          <w:bCs w:val="0"/>
          <w:snapToGrid w:val="0"/>
          <w:color w:val="auto"/>
          <w:spacing w:val="0"/>
          <w:w w:val="100"/>
          <w:kern w:val="0"/>
          <w:position w:val="0"/>
          <w:sz w:val="32"/>
          <w:szCs w:val="32"/>
          <w:highlight w:val="none"/>
          <w:u w:val="none" w:color="auto"/>
          <w:lang w:eastAsia="zh-CN"/>
        </w:rPr>
        <w:t>“</w:t>
      </w:r>
      <w:r>
        <w:rPr>
          <w:rFonts w:hint="default" w:ascii="Times New Roman" w:hAnsi="Times New Roman" w:eastAsia="方正楷体_GBK" w:cs="Times New Roman"/>
          <w:b w:val="0"/>
          <w:bCs w:val="0"/>
          <w:snapToGrid w:val="0"/>
          <w:color w:val="auto"/>
          <w:spacing w:val="0"/>
          <w:w w:val="100"/>
          <w:kern w:val="0"/>
          <w:position w:val="0"/>
          <w:sz w:val="32"/>
          <w:szCs w:val="32"/>
          <w:highlight w:val="none"/>
          <w:u w:val="none" w:color="auto"/>
          <w:lang w:eastAsia="zh-CN"/>
        </w:rPr>
        <w:t>五大共享中心</w:t>
      </w:r>
      <w:r>
        <w:rPr>
          <w:rFonts w:hint="eastAsia" w:ascii="Times New Roman" w:hAnsi="Times New Roman" w:eastAsia="方正楷体_GBK" w:cs="Times New Roman"/>
          <w:b w:val="0"/>
          <w:bCs w:val="0"/>
          <w:snapToGrid w:val="0"/>
          <w:color w:val="auto"/>
          <w:spacing w:val="0"/>
          <w:w w:val="100"/>
          <w:kern w:val="0"/>
          <w:position w:val="0"/>
          <w:sz w:val="32"/>
          <w:szCs w:val="32"/>
          <w:highlight w:val="none"/>
          <w:u w:val="none" w:color="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1.完善4大</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诊断共享中心</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。医共体牵头单位持续推进医学影像、医学检验、心电诊断、病理诊断等资源共享中心建设，完善质量管理体系与利益分配机制。</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鼓励村卫生室配备心电设备。</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发展</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人工智能+辅助诊疗</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，以病理诊断、医学影像为基础，探索推广应用AI辅助医疗诊断技术，实现快速、精准识别病情。推进</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医疗质量、医疗服务、检验结果</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三统一，实现</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基层检查、上级诊断、结果互认</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w w:val="100"/>
          <w:kern w:val="0"/>
          <w:position w:val="0"/>
          <w:sz w:val="32"/>
          <w:szCs w:val="32"/>
          <w:highlight w:val="none"/>
          <w:u w:val="none" w:color="auto"/>
          <w:lang w:val="en-US" w:eastAsia="zh-CN"/>
        </w:rPr>
      </w:pP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2.建立区域消毒供应共享中心。市七院、区人民医院统筹区域成员单位建立消毒供应中心，提供消毒供应服务，统一消毒供应标准，不断完善共享机制，提升消毒供应服务质效。</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黑体_GBK" w:cs="Times New Roman"/>
          <w:snapToGrid w:val="0"/>
          <w:color w:val="auto"/>
          <w:spacing w:val="0"/>
          <w:w w:val="100"/>
          <w:kern w:val="0"/>
          <w:position w:val="0"/>
          <w:sz w:val="32"/>
          <w:szCs w:val="32"/>
          <w:highlight w:val="none"/>
          <w:u w:val="none" w:color="auto"/>
          <w:lang w:eastAsia="zh-CN"/>
        </w:rPr>
      </w:pPr>
      <w:r>
        <w:rPr>
          <w:rFonts w:hint="default" w:ascii="Times New Roman" w:hAnsi="Times New Roman" w:eastAsia="方正黑体_GBK" w:cs="Times New Roman"/>
          <w:snapToGrid w:val="0"/>
          <w:color w:val="auto"/>
          <w:spacing w:val="0"/>
          <w:w w:val="100"/>
          <w:kern w:val="0"/>
          <w:position w:val="0"/>
          <w:sz w:val="32"/>
          <w:szCs w:val="32"/>
          <w:highlight w:val="none"/>
          <w:u w:val="none" w:color="auto"/>
          <w:lang w:eastAsia="zh-CN"/>
        </w:rPr>
        <w:t>五、完善区域医共体支持政策</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pPr>
      <w:r>
        <w:rPr>
          <w:rFonts w:hint="default" w:ascii="Times New Roman" w:hAnsi="Times New Roman" w:eastAsia="方正楷体_GBK" w:cs="Times New Roman"/>
          <w:snapToGrid w:val="0"/>
          <w:color w:val="auto"/>
          <w:spacing w:val="0"/>
          <w:kern w:val="0"/>
          <w:position w:val="0"/>
          <w:sz w:val="32"/>
          <w:szCs w:val="32"/>
          <w:highlight w:val="none"/>
          <w:u w:val="none" w:color="auto"/>
        </w:rPr>
        <w:t>（十</w:t>
      </w:r>
      <w:r>
        <w:rPr>
          <w:rFonts w:hint="default" w:ascii="Times New Roman" w:hAnsi="Times New Roman" w:eastAsia="方正楷体_GBK" w:cs="Times New Roman"/>
          <w:snapToGrid w:val="0"/>
          <w:color w:val="auto"/>
          <w:spacing w:val="0"/>
          <w:kern w:val="0"/>
          <w:position w:val="0"/>
          <w:sz w:val="32"/>
          <w:szCs w:val="32"/>
          <w:highlight w:val="none"/>
          <w:u w:val="none" w:color="auto"/>
          <w:lang w:eastAsia="zh-CN"/>
        </w:rPr>
        <w:t>一</w:t>
      </w:r>
      <w:r>
        <w:rPr>
          <w:rFonts w:hint="default" w:ascii="Times New Roman" w:hAnsi="Times New Roman" w:eastAsia="方正楷体_GBK" w:cs="Times New Roman"/>
          <w:snapToGrid w:val="0"/>
          <w:color w:val="auto"/>
          <w:spacing w:val="0"/>
          <w:kern w:val="0"/>
          <w:position w:val="0"/>
          <w:sz w:val="32"/>
          <w:szCs w:val="32"/>
          <w:highlight w:val="none"/>
          <w:u w:val="none" w:color="auto"/>
        </w:rPr>
        <w:t>）</w:t>
      </w:r>
      <w:bookmarkStart w:id="43" w:name="OLE_LINK25"/>
      <w:r>
        <w:rPr>
          <w:rFonts w:hint="default" w:ascii="Times New Roman" w:hAnsi="Times New Roman" w:eastAsia="方正楷体_GBK" w:cs="Times New Roman"/>
          <w:snapToGrid w:val="0"/>
          <w:color w:val="auto"/>
          <w:spacing w:val="0"/>
          <w:kern w:val="0"/>
          <w:position w:val="0"/>
          <w:sz w:val="32"/>
          <w:szCs w:val="32"/>
          <w:highlight w:val="none"/>
          <w:u w:val="none" w:color="auto"/>
        </w:rPr>
        <w:t>落实政府投入保障责任</w:t>
      </w:r>
      <w:bookmarkEnd w:id="43"/>
      <w:r>
        <w:rPr>
          <w:rFonts w:hint="default" w:ascii="Times New Roman" w:hAnsi="Times New Roman" w:eastAsia="方正楷体_GBK" w:cs="Times New Roman"/>
          <w:snapToGrid w:val="0"/>
          <w:color w:val="auto"/>
          <w:spacing w:val="0"/>
          <w:kern w:val="0"/>
          <w:position w:val="0"/>
          <w:sz w:val="32"/>
          <w:szCs w:val="32"/>
          <w:highlight w:val="none"/>
          <w:u w:val="none" w:color="auto"/>
        </w:rPr>
        <w:t>。</w:t>
      </w:r>
      <w:bookmarkStart w:id="44" w:name="OLE_LINK69"/>
      <w:r>
        <w:rPr>
          <w:rFonts w:hint="default" w:ascii="Times New Roman" w:hAnsi="Times New Roman" w:eastAsia="方正仿宋_GBK" w:cs="Times New Roman"/>
          <w:snapToGrid w:val="0"/>
          <w:color w:val="auto"/>
          <w:spacing w:val="0"/>
          <w:kern w:val="0"/>
          <w:position w:val="0"/>
          <w:sz w:val="32"/>
          <w:szCs w:val="32"/>
          <w:highlight w:val="none"/>
          <w:u w:val="none" w:color="auto"/>
        </w:rPr>
        <w:t>公办基层医疗卫生机构的基本建设和设备购置等发展建设支出，由区财政</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局根据发展建设规划</w:t>
      </w:r>
      <w:r>
        <w:rPr>
          <w:rFonts w:hint="default" w:ascii="Times New Roman" w:hAnsi="Times New Roman" w:eastAsia="方正仿宋_GBK" w:cs="Times New Roman"/>
          <w:snapToGrid w:val="0"/>
          <w:color w:val="auto"/>
          <w:spacing w:val="0"/>
          <w:kern w:val="0"/>
          <w:position w:val="0"/>
          <w:sz w:val="32"/>
          <w:szCs w:val="32"/>
          <w:highlight w:val="none"/>
          <w:u w:val="none" w:color="auto"/>
        </w:rPr>
        <w:t>纳入政府预算足额安排，新增卫生健康财政支出向区域医共体内基层医疗卫生机构适当倾斜</w:t>
      </w:r>
      <w:bookmarkEnd w:id="44"/>
      <w:r>
        <w:rPr>
          <w:rFonts w:hint="default" w:ascii="Times New Roman" w:hAnsi="Times New Roman" w:eastAsia="方正仿宋_GBK" w:cs="Times New Roman"/>
          <w:snapToGrid w:val="0"/>
          <w:color w:val="auto"/>
          <w:spacing w:val="0"/>
          <w:kern w:val="0"/>
          <w:position w:val="0"/>
          <w:sz w:val="32"/>
          <w:szCs w:val="32"/>
          <w:highlight w:val="none"/>
          <w:u w:val="none" w:color="auto"/>
        </w:rPr>
        <w:t>。</w:t>
      </w:r>
      <w:bookmarkStart w:id="45" w:name="OLE_LINK149"/>
    </w:p>
    <w:bookmarkEnd w:id="45"/>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pPr>
      <w:r>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t>（十二）</w:t>
      </w:r>
      <w:bookmarkStart w:id="46" w:name="OLE_LINK26"/>
      <w:r>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t>完善医保相关政策</w:t>
      </w:r>
      <w:bookmarkEnd w:id="46"/>
      <w:r>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t>。</w:t>
      </w:r>
      <w:bookmarkStart w:id="47" w:name="OLE_LINK70"/>
      <w:r>
        <w:rPr>
          <w:rFonts w:hint="default" w:ascii="Times New Roman" w:hAnsi="Times New Roman" w:eastAsia="方正仿宋_GBK" w:cs="Times New Roman"/>
          <w:snapToGrid w:val="0"/>
          <w:color w:val="auto"/>
          <w:spacing w:val="0"/>
          <w:kern w:val="0"/>
          <w:position w:val="0"/>
          <w:sz w:val="32"/>
          <w:szCs w:val="32"/>
          <w:highlight w:val="none"/>
          <w:u w:val="none" w:color="auto"/>
        </w:rPr>
        <w:t>按照市级统一部署</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bookmarkStart w:id="48" w:name="OLE_LINK28"/>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对区域医共体实行医保基金总额付费，完善结余留用机制</w:t>
      </w:r>
      <w:bookmarkEnd w:id="48"/>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，结余资金作为区域医共体医疗机构业务收入</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落实区域医共体医保基金使用内部监督管理责任。完善</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互联网+</w:t>
      </w:r>
      <w:r>
        <w:rPr>
          <w:rFonts w:hint="eastAsia" w:ascii="Times New Roman" w:hAnsi="Times New Roman" w:eastAsia="方正仿宋_GBK" w:cs="Times New Roman"/>
          <w:snapToGrid w:val="0"/>
          <w:color w:val="auto"/>
          <w:spacing w:val="0"/>
          <w:kern w:val="0"/>
          <w:position w:val="0"/>
          <w:sz w:val="32"/>
          <w:szCs w:val="32"/>
          <w:highlight w:val="none"/>
          <w:u w:val="none" w:color="auto"/>
          <w:lang w:eastAsia="zh-CN"/>
        </w:rPr>
        <w:t>”</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医疗服务价格政策，促进互联网诊疗、远程会诊等医疗服务向基层延伸</w:t>
      </w:r>
      <w:bookmarkEnd w:id="47"/>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b/>
          <w:bCs/>
          <w:snapToGrid w:val="0"/>
          <w:color w:val="auto"/>
          <w:spacing w:val="0"/>
          <w:kern w:val="0"/>
          <w:position w:val="0"/>
          <w:sz w:val="32"/>
          <w:szCs w:val="32"/>
          <w:highlight w:val="none"/>
          <w:u w:val="none" w:color="auto"/>
          <w:lang w:val="en-US" w:eastAsia="zh-CN"/>
        </w:rPr>
      </w:pPr>
      <w:r>
        <w:rPr>
          <w:rFonts w:hint="default" w:ascii="Times New Roman" w:hAnsi="Times New Roman" w:eastAsia="方正楷体_GBK" w:cs="Times New Roman"/>
          <w:snapToGrid w:val="0"/>
          <w:color w:val="auto"/>
          <w:spacing w:val="0"/>
          <w:w w:val="100"/>
          <w:kern w:val="0"/>
          <w:position w:val="0"/>
          <w:sz w:val="32"/>
          <w:szCs w:val="32"/>
          <w:highlight w:val="none"/>
          <w:u w:val="none" w:color="auto"/>
          <w:lang w:eastAsia="zh-CN"/>
        </w:rPr>
        <w:t>（十三）优化薪酬管理。</w:t>
      </w:r>
      <w:bookmarkStart w:id="49" w:name="OLE_LINK3"/>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按照《重庆市事业单位超额绩效分类管理办法》，合理调控各级各类医疗机构人员收入。根据市人力社保局等部门联合印发《关于完善基层医疗卫生机构绩效工资政策保障家庭医生签约服务工作的通知》要求，对聘用注册全科医生的基层医疗卫生机构增核超额绩效总量；对基层医疗卫生机构使用家庭医生签约服务费向团队发放的报酬，不计入单位绩效工资总量，并按照</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多劳多得、优绩优酬</w:t>
      </w:r>
      <w:r>
        <w:rPr>
          <w:rFonts w:hint="eastAsia"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w:t>
      </w:r>
      <w:r>
        <w:rPr>
          <w:rFonts w:hint="default" w:ascii="Times New Roman" w:hAnsi="Times New Roman" w:eastAsia="方正仿宋_GBK" w:cs="Times New Roman"/>
          <w:b w:val="0"/>
          <w:bCs w:val="0"/>
          <w:snapToGrid w:val="0"/>
          <w:color w:val="auto"/>
          <w:spacing w:val="0"/>
          <w:w w:val="100"/>
          <w:kern w:val="0"/>
          <w:position w:val="0"/>
          <w:sz w:val="32"/>
          <w:szCs w:val="32"/>
          <w:highlight w:val="none"/>
          <w:u w:val="none" w:color="auto"/>
          <w:lang w:val="en-US" w:eastAsia="zh-CN"/>
        </w:rPr>
        <w:t>原则，重点向工作任务繁重、条件艰苦的岗位倾斜。同时</w:t>
      </w:r>
      <w:r>
        <w:rPr>
          <w:rFonts w:hint="default" w:ascii="Times New Roman" w:hAnsi="Times New Roman" w:eastAsia="方正仿宋_GBK" w:cs="Times New Roman"/>
          <w:snapToGrid w:val="0"/>
          <w:color w:val="auto"/>
          <w:spacing w:val="0"/>
          <w:kern w:val="0"/>
          <w:position w:val="0"/>
          <w:sz w:val="32"/>
          <w:szCs w:val="32"/>
          <w:highlight w:val="none"/>
          <w:u w:val="none" w:color="auto"/>
          <w:lang w:eastAsia="zh-CN"/>
        </w:rPr>
        <w:t>探索区域医共体内各级医疗卫生机构负责人年薪制，</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对负责人薪酬增长合理控制，充分调动负责人的积极性与创造性。</w:t>
      </w:r>
      <w:bookmarkEnd w:id="49"/>
    </w:p>
    <w:p>
      <w:pPr>
        <w:keepNext w:val="0"/>
        <w:keepLines w:val="0"/>
        <w:pageBreakBefore w:val="0"/>
        <w:widowControl w:val="0"/>
        <w:suppressLineNumbers w:val="0"/>
        <w:kinsoku/>
        <w:wordWrap/>
        <w:overflowPunct/>
        <w:topLinePunct w:val="0"/>
        <w:autoSpaceDE/>
        <w:autoSpaceDN/>
        <w:bidi w:val="0"/>
        <w:adjustRightInd/>
        <w:snapToGrid/>
        <w:spacing w:line="600" w:lineRule="exact"/>
        <w:ind w:right="0" w:firstLine="680" w:firstLineChars="0"/>
        <w:jc w:val="both"/>
        <w:textAlignment w:val="auto"/>
        <w:rPr>
          <w:rFonts w:hint="default" w:ascii="Times New Roman" w:hAnsi="Times New Roman" w:eastAsia="方正仿宋_GBK" w:cs="Times New Roman"/>
          <w:b/>
          <w:bCs/>
          <w:snapToGrid w:val="0"/>
          <w:spacing w:val="0"/>
          <w:kern w:val="0"/>
          <w:position w:val="0"/>
          <w:sz w:val="32"/>
          <w:szCs w:val="32"/>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0"/>
        <w:jc w:val="both"/>
        <w:textAlignment w:val="auto"/>
        <w:rPr>
          <w:rFonts w:hint="default" w:ascii="Times New Roman" w:hAnsi="Times New Roman" w:eastAsia="方正仿宋_GBK" w:cs="Times New Roman"/>
          <w:snapToGrid w:val="0"/>
          <w:spacing w:val="0"/>
          <w:kern w:val="0"/>
          <w:position w:val="0"/>
          <w:sz w:val="32"/>
          <w:szCs w:val="32"/>
        </w:rPr>
      </w:pPr>
      <w:r>
        <w:rPr>
          <w:rFonts w:hint="default" w:ascii="Times New Roman" w:hAnsi="Times New Roman" w:eastAsia="方正仿宋_GBK" w:cs="Times New Roman"/>
          <w:snapToGrid w:val="0"/>
          <w:color w:val="000000"/>
          <w:spacing w:val="0"/>
          <w:kern w:val="0"/>
          <w:position w:val="0"/>
          <w:sz w:val="32"/>
          <w:szCs w:val="32"/>
          <w:lang w:val="en-US" w:eastAsia="zh-CN" w:bidi="ar"/>
        </w:rPr>
        <w:t>附件</w:t>
      </w:r>
      <w:r>
        <w:rPr>
          <w:rFonts w:hint="default" w:ascii="Times New Roman" w:hAnsi="Times New Roman" w:eastAsia="方正仿宋_GBK" w:cs="Times New Roman"/>
          <w:snapToGrid w:val="0"/>
          <w:color w:val="auto"/>
          <w:spacing w:val="0"/>
          <w:kern w:val="0"/>
          <w:position w:val="0"/>
          <w:sz w:val="32"/>
          <w:szCs w:val="32"/>
          <w:highlight w:val="none"/>
          <w:u w:val="none" w:color="auto"/>
          <w:lang w:val="en-US" w:eastAsia="zh-CN"/>
        </w:rPr>
        <w:t>：1.</w:t>
      </w:r>
      <w:r>
        <w:rPr>
          <w:rFonts w:hint="default" w:ascii="Times New Roman" w:hAnsi="Times New Roman" w:eastAsia="方正仿宋_GBK" w:cs="Times New Roman"/>
          <w:snapToGrid w:val="0"/>
          <w:spacing w:val="0"/>
          <w:kern w:val="0"/>
          <w:position w:val="0"/>
          <w:sz w:val="32"/>
          <w:szCs w:val="32"/>
        </w:rPr>
        <w:t>主要核心绩效指标表</w:t>
      </w:r>
      <w:bookmarkStart w:id="50" w:name="OLE_LINK75"/>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1673" w:firstLineChars="523"/>
        <w:jc w:val="both"/>
        <w:textAlignment w:val="auto"/>
        <w:rPr>
          <w:rFonts w:hint="default" w:ascii="Times New Roman" w:hAnsi="Times New Roman" w:eastAsia="方正仿宋_GBK" w:cs="Times New Roman"/>
          <w:snapToGrid w:val="0"/>
          <w:spacing w:val="0"/>
          <w:kern w:val="0"/>
          <w:position w:val="0"/>
          <w:sz w:val="32"/>
          <w:szCs w:val="32"/>
        </w:rPr>
      </w:pPr>
      <w:r>
        <w:rPr>
          <w:rFonts w:hint="default" w:ascii="Times New Roman" w:hAnsi="Times New Roman" w:eastAsia="方正仿宋_GBK" w:cs="Times New Roman"/>
          <w:snapToGrid w:val="0"/>
          <w:spacing w:val="0"/>
          <w:kern w:val="0"/>
          <w:position w:val="0"/>
          <w:sz w:val="32"/>
          <w:szCs w:val="32"/>
        </w:rPr>
        <w:t>紧密型区域医共体建设监测指标体系</w:t>
      </w:r>
      <w:bookmarkEnd w:id="5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1673" w:firstLineChars="523"/>
        <w:jc w:val="both"/>
        <w:textAlignment w:val="auto"/>
        <w:rPr>
          <w:rFonts w:hint="default" w:ascii="Times New Roman" w:hAnsi="Times New Roman" w:eastAsia="方正仿宋_GBK" w:cs="Times New Roman"/>
          <w:snapToGrid w:val="0"/>
          <w:spacing w:val="0"/>
          <w:kern w:val="0"/>
          <w:position w:val="0"/>
          <w:sz w:val="32"/>
          <w:szCs w:val="32"/>
        </w:rPr>
      </w:pPr>
      <w:r>
        <w:rPr>
          <w:rFonts w:hint="eastAsia" w:ascii="Times New Roman" w:hAnsi="Times New Roman" w:eastAsia="方正仿宋_GBK" w:cs="Times New Roman"/>
          <w:snapToGrid w:val="0"/>
          <w:spacing w:val="0"/>
          <w:kern w:val="0"/>
          <w:position w:val="0"/>
          <w:sz w:val="32"/>
          <w:szCs w:val="32"/>
          <w:lang w:eastAsia="zh-CN"/>
        </w:rPr>
        <w:t>“</w:t>
      </w:r>
      <w:r>
        <w:rPr>
          <w:rFonts w:hint="default" w:ascii="Times New Roman" w:hAnsi="Times New Roman" w:eastAsia="方正仿宋_GBK" w:cs="Times New Roman"/>
          <w:snapToGrid w:val="0"/>
          <w:spacing w:val="0"/>
          <w:kern w:val="0"/>
          <w:position w:val="0"/>
          <w:sz w:val="32"/>
          <w:szCs w:val="32"/>
        </w:rPr>
        <w:t>四个重大</w:t>
      </w:r>
      <w:r>
        <w:rPr>
          <w:rFonts w:hint="eastAsia" w:ascii="Times New Roman" w:hAnsi="Times New Roman" w:eastAsia="方正仿宋_GBK" w:cs="Times New Roman"/>
          <w:snapToGrid w:val="0"/>
          <w:spacing w:val="0"/>
          <w:kern w:val="0"/>
          <w:position w:val="0"/>
          <w:sz w:val="32"/>
          <w:szCs w:val="32"/>
          <w:lang w:eastAsia="zh-CN"/>
        </w:rPr>
        <w:t>”</w:t>
      </w:r>
      <w:r>
        <w:rPr>
          <w:rFonts w:hint="default" w:ascii="Times New Roman" w:hAnsi="Times New Roman" w:eastAsia="方正仿宋_GBK" w:cs="Times New Roman"/>
          <w:snapToGrid w:val="0"/>
          <w:spacing w:val="0"/>
          <w:kern w:val="0"/>
          <w:position w:val="0"/>
          <w:sz w:val="32"/>
          <w:szCs w:val="32"/>
        </w:rPr>
        <w:t>清单</w:t>
      </w:r>
    </w:p>
    <w:p>
      <w:pPr>
        <w:keepNext w:val="0"/>
        <w:keepLines w:val="0"/>
        <w:pageBreakBefore w:val="0"/>
        <w:widowControl w:val="0"/>
        <w:tabs>
          <w:tab w:val="left" w:pos="2085"/>
          <w:tab w:val="left" w:pos="3427"/>
          <w:tab w:val="left" w:pos="4495"/>
        </w:tabs>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黑体_GBK" w:cs="Times New Roman"/>
          <w:snapToGrid w:val="0"/>
          <w:spacing w:val="0"/>
          <w:kern w:val="0"/>
          <w:position w:val="0"/>
          <w:sz w:val="32"/>
          <w:szCs w:val="32"/>
        </w:rPr>
      </w:pPr>
    </w:p>
    <w:p>
      <w:pPr>
        <w:keepNext w:val="0"/>
        <w:keepLines w:val="0"/>
        <w:pageBreakBefore w:val="0"/>
        <w:widowControl w:val="0"/>
        <w:tabs>
          <w:tab w:val="left" w:pos="2085"/>
          <w:tab w:val="left" w:pos="3427"/>
          <w:tab w:val="left" w:pos="4495"/>
        </w:tabs>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黑体_GBK" w:cs="Times New Roman"/>
          <w:snapToGrid w:val="0"/>
          <w:spacing w:val="0"/>
          <w:kern w:val="0"/>
          <w:position w:val="0"/>
          <w:sz w:val="32"/>
          <w:szCs w:val="32"/>
        </w:rPr>
      </w:pPr>
    </w:p>
    <w:p>
      <w:pPr>
        <w:keepNext w:val="0"/>
        <w:keepLines w:val="0"/>
        <w:pageBreakBefore w:val="0"/>
        <w:widowControl w:val="0"/>
        <w:tabs>
          <w:tab w:val="left" w:pos="2085"/>
          <w:tab w:val="left" w:pos="3427"/>
          <w:tab w:val="left" w:pos="4495"/>
        </w:tabs>
        <w:kinsoku/>
        <w:wordWrap/>
        <w:overflowPunct/>
        <w:topLinePunct w:val="0"/>
        <w:autoSpaceDE/>
        <w:autoSpaceDN/>
        <w:bidi w:val="0"/>
        <w:adjustRightInd w:val="0"/>
        <w:snapToGrid w:val="0"/>
        <w:spacing w:line="50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rPr>
      </w:pPr>
      <w:r>
        <w:rPr>
          <w:rFonts w:hint="default" w:ascii="Times New Roman" w:hAnsi="Times New Roman" w:eastAsia="方正黑体_GBK" w:cs="Times New Roman"/>
          <w:snapToGrid w:val="0"/>
          <w:spacing w:val="0"/>
          <w:kern w:val="0"/>
          <w:position w:val="0"/>
          <w:sz w:val="32"/>
          <w:szCs w:val="32"/>
        </w:rPr>
        <w:t>附件1</w:t>
      </w:r>
    </w:p>
    <w:p>
      <w:pPr>
        <w:keepNext w:val="0"/>
        <w:keepLines w:val="0"/>
        <w:pageBreakBefore w:val="0"/>
        <w:widowControl w:val="0"/>
        <w:tabs>
          <w:tab w:val="left" w:pos="2085"/>
          <w:tab w:val="left" w:pos="3427"/>
          <w:tab w:val="left" w:pos="4495"/>
        </w:tabs>
        <w:kinsoku/>
        <w:wordWrap/>
        <w:overflowPunct/>
        <w:topLinePunct w:val="0"/>
        <w:autoSpaceDE/>
        <w:autoSpaceDN/>
        <w:bidi w:val="0"/>
        <w:adjustRightInd w:val="0"/>
        <w:snapToGrid w:val="0"/>
        <w:spacing w:line="500" w:lineRule="exact"/>
        <w:ind w:left="0" w:leftChars="0"/>
        <w:jc w:val="both"/>
        <w:textAlignment w:val="auto"/>
        <w:outlineLvl w:val="9"/>
        <w:rPr>
          <w:rFonts w:hint="default" w:ascii="Times New Roman" w:hAnsi="Times New Roman" w:eastAsia="方正小标宋_GBK" w:cs="Times New Roman"/>
          <w:b w:val="0"/>
          <w:bCs/>
          <w:snapToGrid w:val="0"/>
          <w:spacing w:val="0"/>
          <w:kern w:val="0"/>
          <w:position w:val="0"/>
          <w:sz w:val="44"/>
          <w:szCs w:val="44"/>
          <w:lang w:eastAsia="zh-CN"/>
        </w:rPr>
      </w:pPr>
    </w:p>
    <w:p>
      <w:pPr>
        <w:keepNext w:val="0"/>
        <w:keepLines w:val="0"/>
        <w:pageBreakBefore w:val="0"/>
        <w:widowControl w:val="0"/>
        <w:tabs>
          <w:tab w:val="left" w:pos="2085"/>
          <w:tab w:val="left" w:pos="3427"/>
          <w:tab w:val="left" w:pos="4495"/>
        </w:tabs>
        <w:kinsoku/>
        <w:wordWrap/>
        <w:overflowPunct/>
        <w:topLinePunct w:val="0"/>
        <w:autoSpaceDE/>
        <w:autoSpaceDN/>
        <w:bidi w:val="0"/>
        <w:adjustRightInd w:val="0"/>
        <w:snapToGrid w:val="0"/>
        <w:spacing w:line="500" w:lineRule="exact"/>
        <w:ind w:left="0" w:leftChars="0"/>
        <w:jc w:val="center"/>
        <w:textAlignment w:val="auto"/>
        <w:outlineLvl w:val="9"/>
        <w:rPr>
          <w:rFonts w:hint="default" w:ascii="Times New Roman" w:hAnsi="Times New Roman" w:eastAsia="方正小标宋_GBK" w:cs="Times New Roman"/>
          <w:b w:val="0"/>
          <w:bCs/>
          <w:snapToGrid w:val="0"/>
          <w:spacing w:val="0"/>
          <w:kern w:val="0"/>
          <w:position w:val="0"/>
          <w:sz w:val="44"/>
          <w:szCs w:val="44"/>
          <w:lang w:eastAsia="zh-CN"/>
        </w:rPr>
      </w:pPr>
      <w:r>
        <w:rPr>
          <w:rFonts w:hint="default" w:ascii="Times New Roman" w:hAnsi="Times New Roman" w:eastAsia="方正小标宋_GBK" w:cs="Times New Roman"/>
          <w:b w:val="0"/>
          <w:bCs/>
          <w:snapToGrid w:val="0"/>
          <w:spacing w:val="0"/>
          <w:kern w:val="0"/>
          <w:position w:val="0"/>
          <w:sz w:val="44"/>
          <w:szCs w:val="44"/>
          <w:lang w:eastAsia="zh-CN"/>
        </w:rPr>
        <w:t>主要核心</w:t>
      </w:r>
      <w:r>
        <w:rPr>
          <w:rFonts w:hint="eastAsia" w:ascii="Times New Roman" w:hAnsi="Times New Roman" w:eastAsia="方正小标宋_GBK" w:cs="Times New Roman"/>
          <w:b w:val="0"/>
          <w:bCs/>
          <w:snapToGrid w:val="0"/>
          <w:spacing w:val="0"/>
          <w:kern w:val="0"/>
          <w:position w:val="0"/>
          <w:sz w:val="44"/>
          <w:szCs w:val="44"/>
          <w:lang w:eastAsia="zh-CN"/>
        </w:rPr>
        <w:t>绩效</w:t>
      </w:r>
      <w:r>
        <w:rPr>
          <w:rFonts w:hint="default" w:ascii="Times New Roman" w:hAnsi="Times New Roman" w:eastAsia="方正小标宋_GBK" w:cs="Times New Roman"/>
          <w:b w:val="0"/>
          <w:bCs/>
          <w:snapToGrid w:val="0"/>
          <w:spacing w:val="0"/>
          <w:kern w:val="0"/>
          <w:position w:val="0"/>
          <w:sz w:val="44"/>
          <w:szCs w:val="44"/>
          <w:lang w:eastAsia="zh-CN"/>
        </w:rPr>
        <w:t>指标</w:t>
      </w:r>
      <w:r>
        <w:rPr>
          <w:rFonts w:hint="eastAsia" w:ascii="Times New Roman" w:hAnsi="Times New Roman" w:eastAsia="方正小标宋_GBK" w:cs="Times New Roman"/>
          <w:b w:val="0"/>
          <w:bCs/>
          <w:snapToGrid w:val="0"/>
          <w:spacing w:val="0"/>
          <w:kern w:val="0"/>
          <w:position w:val="0"/>
          <w:sz w:val="44"/>
          <w:szCs w:val="44"/>
          <w:lang w:eastAsia="zh-CN"/>
        </w:rPr>
        <w:t>表</w:t>
      </w:r>
    </w:p>
    <w:p>
      <w:pPr>
        <w:keepNext w:val="0"/>
        <w:keepLines w:val="0"/>
        <w:pageBreakBefore w:val="0"/>
        <w:widowControl w:val="0"/>
        <w:tabs>
          <w:tab w:val="left" w:pos="2085"/>
          <w:tab w:val="left" w:pos="3427"/>
          <w:tab w:val="left" w:pos="4495"/>
        </w:tabs>
        <w:kinsoku/>
        <w:wordWrap/>
        <w:overflowPunct/>
        <w:topLinePunct w:val="0"/>
        <w:autoSpaceDE/>
        <w:autoSpaceDN/>
        <w:bidi w:val="0"/>
        <w:adjustRightInd w:val="0"/>
        <w:snapToGrid w:val="0"/>
        <w:spacing w:line="500" w:lineRule="exact"/>
        <w:ind w:left="0" w:leftChars="0"/>
        <w:jc w:val="center"/>
        <w:textAlignment w:val="auto"/>
        <w:outlineLvl w:val="9"/>
        <w:rPr>
          <w:rFonts w:hint="default" w:ascii="Times New Roman" w:hAnsi="Times New Roman" w:eastAsia="宋体" w:cs="Times New Roman"/>
          <w:snapToGrid w:val="0"/>
          <w:spacing w:val="0"/>
          <w:kern w:val="0"/>
          <w:position w:val="0"/>
          <w:sz w:val="21"/>
          <w:lang w:eastAsia="zh-CN"/>
        </w:rPr>
      </w:pPr>
    </w:p>
    <w:tbl>
      <w:tblPr>
        <w:tblStyle w:val="2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4929"/>
        <w:gridCol w:w="724"/>
        <w:gridCol w:w="945"/>
        <w:gridCol w:w="945"/>
        <w:gridCol w:w="9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jc w:val="center"/>
        </w:trPr>
        <w:tc>
          <w:tcPr>
            <w:tcW w:w="643" w:type="dxa"/>
            <w:tcBorders>
              <w:top w:val="single" w:color="000000" w:sz="4" w:space="0"/>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序号</w:t>
            </w:r>
          </w:p>
        </w:tc>
        <w:tc>
          <w:tcPr>
            <w:tcW w:w="4929" w:type="dxa"/>
            <w:tcBorders>
              <w:top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指标名称</w:t>
            </w:r>
          </w:p>
        </w:tc>
        <w:tc>
          <w:tcPr>
            <w:tcW w:w="724" w:type="dxa"/>
            <w:tcBorders>
              <w:top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单位</w:t>
            </w:r>
          </w:p>
        </w:tc>
        <w:tc>
          <w:tcPr>
            <w:tcW w:w="945" w:type="dxa"/>
            <w:tcBorders>
              <w:top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2024年</w:t>
            </w:r>
          </w:p>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指标值</w:t>
            </w:r>
          </w:p>
        </w:tc>
        <w:tc>
          <w:tcPr>
            <w:tcW w:w="945" w:type="dxa"/>
            <w:tcBorders>
              <w:top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2025年</w:t>
            </w:r>
          </w:p>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目标值</w:t>
            </w:r>
          </w:p>
        </w:tc>
        <w:tc>
          <w:tcPr>
            <w:tcW w:w="956" w:type="dxa"/>
            <w:tcBorders>
              <w:top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eastAsia="zh-CN"/>
              </w:rPr>
            </w:pPr>
            <w:r>
              <w:rPr>
                <w:rFonts w:hint="eastAsia" w:ascii="宋体" w:hAnsi="宋体" w:eastAsia="宋体" w:cs="宋体"/>
                <w:snapToGrid w:val="0"/>
                <w:spacing w:val="0"/>
                <w:kern w:val="0"/>
                <w:position w:val="0"/>
                <w:sz w:val="21"/>
                <w:szCs w:val="21"/>
              </w:rPr>
              <w:t>2027</w:t>
            </w:r>
            <w:r>
              <w:rPr>
                <w:rFonts w:hint="eastAsia" w:ascii="宋体" w:hAnsi="宋体" w:eastAsia="宋体" w:cs="宋体"/>
                <w:snapToGrid w:val="0"/>
                <w:spacing w:val="0"/>
                <w:kern w:val="0"/>
                <w:position w:val="0"/>
                <w:sz w:val="21"/>
                <w:szCs w:val="21"/>
                <w:lang w:eastAsia="zh-CN"/>
              </w:rPr>
              <w:t>年</w:t>
            </w:r>
          </w:p>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目标值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1</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22"/>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紧密型区域医共体建设</w:t>
            </w:r>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eastAsia="zh-CN"/>
              </w:rPr>
            </w:pPr>
            <w:r>
              <w:rPr>
                <w:rFonts w:hint="eastAsia" w:ascii="宋体" w:hAnsi="宋体" w:eastAsia="宋体" w:cs="宋体"/>
                <w:snapToGrid w:val="0"/>
                <w:spacing w:val="0"/>
                <w:kern w:val="0"/>
                <w:position w:val="0"/>
                <w:sz w:val="21"/>
                <w:szCs w:val="21"/>
                <w:highlight w:val="none"/>
                <w:lang w:eastAsia="zh-CN"/>
              </w:rPr>
              <w:t>个</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2</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2</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2</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下派</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县聘乡用</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人员累计数量</w:t>
            </w:r>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人</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87</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117</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177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3</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下派</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乡聘村用</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累计数量</w:t>
            </w:r>
            <w:r>
              <w:rPr>
                <w:rFonts w:hint="eastAsia" w:ascii="宋体" w:hAnsi="宋体" w:eastAsia="宋体" w:cs="宋体"/>
                <w:snapToGrid w:val="0"/>
                <w:spacing w:val="0"/>
                <w:kern w:val="0"/>
                <w:position w:val="0"/>
                <w:sz w:val="21"/>
                <w:szCs w:val="21"/>
                <w:highlight w:val="none"/>
                <w:lang w:eastAsia="zh-CN"/>
              </w:rPr>
              <w:t>（含“镇村一体化管理、大学生乡村医生计划”</w:t>
            </w:r>
            <w:r>
              <w:rPr>
                <w:rFonts w:hint="eastAsia" w:ascii="宋体" w:hAnsi="宋体" w:eastAsia="宋体" w:cs="宋体"/>
                <w:snapToGrid w:val="0"/>
                <w:spacing w:val="0"/>
                <w:kern w:val="0"/>
                <w:position w:val="0"/>
                <w:sz w:val="21"/>
                <w:szCs w:val="21"/>
                <w:highlight w:val="none"/>
              </w:rPr>
              <w:t>人员</w:t>
            </w:r>
            <w:r>
              <w:rPr>
                <w:rFonts w:hint="eastAsia" w:ascii="宋体" w:hAnsi="宋体" w:eastAsia="宋体" w:cs="宋体"/>
                <w:snapToGrid w:val="0"/>
                <w:spacing w:val="0"/>
                <w:kern w:val="0"/>
                <w:position w:val="0"/>
                <w:sz w:val="21"/>
                <w:szCs w:val="21"/>
                <w:highlight w:val="none"/>
                <w:lang w:eastAsia="zh-CN"/>
              </w:rPr>
              <w:t>）</w:t>
            </w:r>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人</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32</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35</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4</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rPr>
            </w:pPr>
            <w:bookmarkStart w:id="51" w:name="OLE_LINK103"/>
            <w:r>
              <w:rPr>
                <w:rFonts w:hint="eastAsia" w:ascii="宋体" w:hAnsi="宋体" w:eastAsia="宋体" w:cs="宋体"/>
                <w:snapToGrid w:val="0"/>
                <w:spacing w:val="0"/>
                <w:kern w:val="0"/>
                <w:position w:val="0"/>
                <w:sz w:val="21"/>
                <w:szCs w:val="21"/>
                <w:highlight w:val="none"/>
              </w:rPr>
              <w:t>区域</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七大智慧平台</w:t>
            </w:r>
            <w:r>
              <w:rPr>
                <w:rFonts w:hint="eastAsia" w:ascii="宋体" w:hAnsi="宋体" w:eastAsia="宋体" w:cs="宋体"/>
                <w:snapToGrid w:val="0"/>
                <w:spacing w:val="0"/>
                <w:kern w:val="0"/>
                <w:position w:val="0"/>
                <w:sz w:val="21"/>
                <w:szCs w:val="21"/>
                <w:highlight w:val="none"/>
                <w:lang w:eastAsia="zh-CN"/>
              </w:rPr>
              <w:t>”建设应</w:t>
            </w:r>
            <w:bookmarkEnd w:id="51"/>
            <w:r>
              <w:rPr>
                <w:rFonts w:hint="eastAsia" w:ascii="宋体" w:hAnsi="宋体" w:eastAsia="宋体" w:cs="宋体"/>
                <w:snapToGrid w:val="0"/>
                <w:spacing w:val="0"/>
                <w:kern w:val="0"/>
                <w:position w:val="0"/>
                <w:sz w:val="21"/>
                <w:szCs w:val="21"/>
                <w:highlight w:val="none"/>
                <w:lang w:eastAsia="zh-CN"/>
              </w:rPr>
              <w:t>用</w:t>
            </w:r>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eastAsia="zh-CN"/>
              </w:rPr>
            </w:pPr>
            <w:r>
              <w:rPr>
                <w:rFonts w:hint="eastAsia" w:ascii="宋体" w:hAnsi="宋体" w:eastAsia="宋体" w:cs="宋体"/>
                <w:snapToGrid w:val="0"/>
                <w:spacing w:val="0"/>
                <w:kern w:val="0"/>
                <w:position w:val="0"/>
                <w:sz w:val="21"/>
                <w:szCs w:val="21"/>
                <w:highlight w:val="none"/>
                <w:lang w:eastAsia="zh-CN"/>
              </w:rPr>
              <w:t>个</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6</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6</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5</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区域</w:t>
            </w:r>
            <w:bookmarkStart w:id="52" w:name="OLE_LINK104"/>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五大共享中心</w:t>
            </w:r>
            <w:r>
              <w:rPr>
                <w:rFonts w:hint="eastAsia" w:ascii="宋体" w:hAnsi="宋体" w:eastAsia="宋体" w:cs="宋体"/>
                <w:snapToGrid w:val="0"/>
                <w:spacing w:val="0"/>
                <w:kern w:val="0"/>
                <w:position w:val="0"/>
                <w:sz w:val="21"/>
                <w:szCs w:val="21"/>
                <w:highlight w:val="none"/>
                <w:lang w:eastAsia="zh-CN"/>
              </w:rPr>
              <w:t>”建设</w:t>
            </w:r>
            <w:bookmarkEnd w:id="52"/>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eastAsia="zh-CN"/>
              </w:rPr>
            </w:pPr>
            <w:r>
              <w:rPr>
                <w:rFonts w:hint="eastAsia" w:ascii="宋体" w:hAnsi="宋体" w:eastAsia="宋体" w:cs="宋体"/>
                <w:snapToGrid w:val="0"/>
                <w:spacing w:val="0"/>
                <w:kern w:val="0"/>
                <w:position w:val="0"/>
                <w:sz w:val="21"/>
                <w:szCs w:val="21"/>
                <w:highlight w:val="none"/>
                <w:lang w:eastAsia="zh-CN"/>
              </w:rPr>
              <w:t>个</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5</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5</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 w:firstLineChars="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6</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rPr>
            </w:pPr>
            <w:bookmarkStart w:id="53" w:name="OLE_LINK16"/>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基层检查、上级诊断</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患者数</w:t>
            </w:r>
            <w:bookmarkEnd w:id="53"/>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eastAsia="zh-CN"/>
              </w:rPr>
              <w:t>万人</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bookmarkStart w:id="54" w:name="OLE_LINK17"/>
            <w:r>
              <w:rPr>
                <w:rFonts w:hint="eastAsia" w:ascii="宋体" w:hAnsi="宋体" w:eastAsia="宋体" w:cs="宋体"/>
                <w:snapToGrid w:val="0"/>
                <w:spacing w:val="0"/>
                <w:kern w:val="0"/>
                <w:position w:val="0"/>
                <w:sz w:val="21"/>
                <w:szCs w:val="21"/>
                <w:highlight w:val="none"/>
              </w:rPr>
              <w:t>≥</w:t>
            </w:r>
            <w:r>
              <w:rPr>
                <w:rFonts w:hint="eastAsia" w:ascii="宋体" w:hAnsi="宋体" w:eastAsia="宋体" w:cs="宋体"/>
                <w:snapToGrid w:val="0"/>
                <w:spacing w:val="0"/>
                <w:kern w:val="0"/>
                <w:position w:val="0"/>
                <w:sz w:val="21"/>
                <w:szCs w:val="21"/>
                <w:highlight w:val="none"/>
                <w:lang w:val="en-US" w:eastAsia="zh-CN"/>
              </w:rPr>
              <w:t>1.0</w:t>
            </w:r>
            <w:bookmarkEnd w:id="54"/>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rPr>
              <w:t>≥</w:t>
            </w:r>
            <w:r>
              <w:rPr>
                <w:rFonts w:hint="eastAsia" w:ascii="宋体" w:hAnsi="宋体" w:eastAsia="宋体" w:cs="宋体"/>
                <w:snapToGrid w:val="0"/>
                <w:spacing w:val="0"/>
                <w:kern w:val="0"/>
                <w:position w:val="0"/>
                <w:sz w:val="21"/>
                <w:szCs w:val="21"/>
                <w:highlight w:val="none"/>
                <w:lang w:val="en-US" w:eastAsia="zh-CN"/>
              </w:rPr>
              <w:t>1.5</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bookmarkStart w:id="55" w:name="OLE_LINK18"/>
            <w:r>
              <w:rPr>
                <w:rFonts w:hint="eastAsia" w:ascii="宋体" w:hAnsi="宋体" w:eastAsia="宋体" w:cs="宋体"/>
                <w:snapToGrid w:val="0"/>
                <w:spacing w:val="0"/>
                <w:kern w:val="0"/>
                <w:position w:val="0"/>
                <w:sz w:val="21"/>
                <w:szCs w:val="21"/>
                <w:highlight w:val="none"/>
              </w:rPr>
              <w:t>≥</w:t>
            </w:r>
            <w:r>
              <w:rPr>
                <w:rFonts w:hint="eastAsia" w:ascii="宋体" w:hAnsi="宋体" w:eastAsia="宋体" w:cs="宋体"/>
                <w:snapToGrid w:val="0"/>
                <w:spacing w:val="0"/>
                <w:kern w:val="0"/>
                <w:position w:val="0"/>
                <w:sz w:val="21"/>
                <w:szCs w:val="21"/>
                <w:highlight w:val="none"/>
                <w:lang w:val="en-US" w:eastAsia="zh-CN"/>
              </w:rPr>
              <w:t>2.0</w:t>
            </w:r>
            <w:bookmarkEnd w:id="5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7</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rPr>
            </w:pPr>
            <w:bookmarkStart w:id="56" w:name="OLE_LINK13"/>
            <w:r>
              <w:rPr>
                <w:rFonts w:hint="eastAsia" w:ascii="宋体" w:hAnsi="宋体" w:eastAsia="宋体" w:cs="宋体"/>
                <w:snapToGrid w:val="0"/>
                <w:spacing w:val="0"/>
                <w:kern w:val="0"/>
                <w:position w:val="0"/>
                <w:sz w:val="21"/>
                <w:szCs w:val="21"/>
                <w:highlight w:val="none"/>
              </w:rPr>
              <w:t>乡镇卫生院（社区卫生服务中心）医务人员与区级医院医务人员收入比值</w:t>
            </w:r>
            <w:bookmarkEnd w:id="56"/>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lang w:eastAsia="zh-CN"/>
              </w:rPr>
            </w:pPr>
            <w:r>
              <w:rPr>
                <w:rFonts w:hint="eastAsia" w:ascii="宋体" w:hAnsi="宋体" w:eastAsia="宋体" w:cs="宋体"/>
                <w:snapToGrid w:val="0"/>
                <w:spacing w:val="0"/>
                <w:kern w:val="0"/>
                <w:position w:val="0"/>
                <w:sz w:val="21"/>
                <w:szCs w:val="21"/>
                <w:highlight w:val="none"/>
                <w:lang w:val="en-US" w:eastAsia="zh-CN"/>
              </w:rPr>
              <w:t>/</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bookmarkStart w:id="57" w:name="OLE_LINK14"/>
            <w:r>
              <w:rPr>
                <w:rFonts w:hint="eastAsia" w:ascii="宋体" w:hAnsi="宋体" w:eastAsia="宋体" w:cs="宋体"/>
                <w:snapToGrid w:val="0"/>
                <w:spacing w:val="0"/>
                <w:kern w:val="0"/>
                <w:position w:val="0"/>
                <w:sz w:val="21"/>
                <w:szCs w:val="21"/>
                <w:highlight w:val="none"/>
              </w:rPr>
              <w:t>≥</w:t>
            </w:r>
            <w:r>
              <w:rPr>
                <w:rFonts w:hint="eastAsia" w:ascii="宋体" w:hAnsi="宋体" w:eastAsia="宋体" w:cs="宋体"/>
                <w:snapToGrid w:val="0"/>
                <w:spacing w:val="0"/>
                <w:kern w:val="0"/>
                <w:position w:val="0"/>
                <w:sz w:val="21"/>
                <w:szCs w:val="21"/>
                <w:highlight w:val="none"/>
                <w:lang w:val="en-US" w:eastAsia="zh-CN"/>
              </w:rPr>
              <w:t>0.60</w:t>
            </w:r>
            <w:bookmarkEnd w:id="57"/>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rPr>
              <w:t>≥</w:t>
            </w:r>
            <w:r>
              <w:rPr>
                <w:rFonts w:hint="eastAsia" w:ascii="宋体" w:hAnsi="宋体" w:eastAsia="宋体" w:cs="宋体"/>
                <w:snapToGrid w:val="0"/>
                <w:spacing w:val="0"/>
                <w:kern w:val="0"/>
                <w:position w:val="0"/>
                <w:sz w:val="21"/>
                <w:szCs w:val="21"/>
                <w:highlight w:val="none"/>
                <w:lang w:val="en-US" w:eastAsia="zh-CN"/>
              </w:rPr>
              <w:t>0.85</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bookmarkStart w:id="58" w:name="OLE_LINK15"/>
            <w:r>
              <w:rPr>
                <w:rFonts w:hint="eastAsia" w:ascii="宋体" w:hAnsi="宋体" w:eastAsia="宋体" w:cs="宋体"/>
                <w:snapToGrid w:val="0"/>
                <w:spacing w:val="0"/>
                <w:kern w:val="0"/>
                <w:position w:val="0"/>
                <w:sz w:val="21"/>
                <w:szCs w:val="21"/>
                <w:highlight w:val="none"/>
              </w:rPr>
              <w:t>≥0.</w:t>
            </w:r>
            <w:r>
              <w:rPr>
                <w:rFonts w:hint="eastAsia" w:ascii="宋体" w:hAnsi="宋体" w:eastAsia="宋体" w:cs="宋体"/>
                <w:snapToGrid w:val="0"/>
                <w:spacing w:val="0"/>
                <w:kern w:val="0"/>
                <w:position w:val="0"/>
                <w:sz w:val="21"/>
                <w:szCs w:val="21"/>
                <w:highlight w:val="none"/>
                <w:lang w:val="en-US" w:eastAsia="zh-CN"/>
              </w:rPr>
              <w:t>90</w:t>
            </w:r>
            <w:bookmarkEnd w:id="5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8</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rPr>
            </w:pPr>
            <w:bookmarkStart w:id="59" w:name="OLE_LINK95"/>
            <w:r>
              <w:rPr>
                <w:rFonts w:hint="eastAsia" w:ascii="宋体" w:hAnsi="宋体" w:eastAsia="宋体" w:cs="宋体"/>
                <w:snapToGrid w:val="0"/>
                <w:spacing w:val="0"/>
                <w:kern w:val="0"/>
                <w:position w:val="0"/>
                <w:sz w:val="21"/>
                <w:szCs w:val="21"/>
              </w:rPr>
              <w:t>区域内基层医疗卫生机构诊疗人次占比</w:t>
            </w:r>
            <w:bookmarkEnd w:id="59"/>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60.48</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rPr>
              <w:t>≥</w:t>
            </w:r>
            <w:r>
              <w:rPr>
                <w:rFonts w:hint="eastAsia" w:ascii="宋体" w:hAnsi="宋体" w:eastAsia="宋体" w:cs="宋体"/>
                <w:snapToGrid w:val="0"/>
                <w:spacing w:val="0"/>
                <w:kern w:val="0"/>
                <w:position w:val="0"/>
                <w:sz w:val="21"/>
                <w:szCs w:val="21"/>
                <w:lang w:val="en-US" w:eastAsia="zh-CN"/>
              </w:rPr>
              <w:t>60</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9</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优质服务基层行</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活动达到国家基标准及以上的机构占比</w:t>
            </w:r>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90</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≥90</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10</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highlight w:val="none"/>
                <w:lang w:eastAsia="zh-CN"/>
              </w:rPr>
            </w:pPr>
            <w:bookmarkStart w:id="60" w:name="OLE_LINK11"/>
            <w:r>
              <w:rPr>
                <w:rFonts w:hint="eastAsia" w:ascii="宋体" w:hAnsi="宋体" w:eastAsia="宋体" w:cs="宋体"/>
                <w:snapToGrid w:val="0"/>
                <w:spacing w:val="0"/>
                <w:kern w:val="0"/>
                <w:position w:val="0"/>
                <w:sz w:val="21"/>
                <w:szCs w:val="21"/>
                <w:highlight w:val="none"/>
              </w:rPr>
              <w:t>家庭医生全人群签约</w:t>
            </w:r>
            <w:r>
              <w:rPr>
                <w:rFonts w:hint="eastAsia" w:ascii="宋体" w:hAnsi="宋体" w:eastAsia="宋体" w:cs="宋体"/>
                <w:snapToGrid w:val="0"/>
                <w:spacing w:val="0"/>
                <w:kern w:val="0"/>
                <w:position w:val="0"/>
                <w:sz w:val="21"/>
                <w:szCs w:val="21"/>
                <w:highlight w:val="none"/>
                <w:lang w:eastAsia="zh-CN"/>
              </w:rPr>
              <w:t>服务人数</w:t>
            </w:r>
            <w:bookmarkEnd w:id="60"/>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highlight w:val="none"/>
                <w:lang w:eastAsia="zh-CN"/>
              </w:rPr>
            </w:pPr>
            <w:r>
              <w:rPr>
                <w:rFonts w:hint="eastAsia" w:ascii="宋体" w:hAnsi="宋体" w:eastAsia="宋体" w:cs="宋体"/>
                <w:snapToGrid w:val="0"/>
                <w:spacing w:val="0"/>
                <w:kern w:val="0"/>
                <w:position w:val="0"/>
                <w:sz w:val="21"/>
                <w:szCs w:val="21"/>
                <w:highlight w:val="none"/>
                <w:lang w:eastAsia="zh-CN"/>
              </w:rPr>
              <w:t>万人</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lang w:val="en-US" w:eastAsia="zh-CN"/>
              </w:rPr>
              <w:t>50</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color w:val="auto"/>
                <w:spacing w:val="0"/>
                <w:kern w:val="0"/>
                <w:position w:val="0"/>
                <w:sz w:val="21"/>
                <w:szCs w:val="21"/>
                <w:highlight w:val="none"/>
                <w:lang w:val="en-US" w:eastAsia="zh-CN"/>
              </w:rPr>
            </w:pPr>
            <w:r>
              <w:rPr>
                <w:rFonts w:hint="eastAsia" w:ascii="宋体" w:hAnsi="宋体" w:eastAsia="宋体" w:cs="宋体"/>
                <w:snapToGrid w:val="0"/>
                <w:color w:val="auto"/>
                <w:spacing w:val="0"/>
                <w:kern w:val="0"/>
                <w:position w:val="0"/>
                <w:sz w:val="21"/>
                <w:szCs w:val="21"/>
                <w:highlight w:val="none"/>
                <w:lang w:val="en-US" w:eastAsia="zh-CN"/>
              </w:rPr>
              <w:t>56.6</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outlineLvl w:val="9"/>
              <w:rPr>
                <w:rFonts w:hint="eastAsia" w:ascii="宋体" w:hAnsi="宋体" w:eastAsia="宋体" w:cs="宋体"/>
                <w:snapToGrid w:val="0"/>
                <w:color w:val="auto"/>
                <w:spacing w:val="0"/>
                <w:kern w:val="0"/>
                <w:position w:val="0"/>
                <w:sz w:val="21"/>
                <w:szCs w:val="21"/>
                <w:highlight w:val="none"/>
                <w:lang w:val="en-US" w:eastAsia="zh-CN"/>
              </w:rPr>
            </w:pPr>
            <w:r>
              <w:rPr>
                <w:rFonts w:hint="eastAsia" w:ascii="宋体" w:hAnsi="宋体" w:eastAsia="宋体" w:cs="宋体"/>
                <w:snapToGrid w:val="0"/>
                <w:color w:val="auto"/>
                <w:spacing w:val="0"/>
                <w:kern w:val="0"/>
                <w:position w:val="0"/>
                <w:sz w:val="21"/>
                <w:szCs w:val="21"/>
                <w:highlight w:val="none"/>
                <w:lang w:val="en-US" w:eastAsia="zh-CN"/>
              </w:rPr>
              <w:t>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643" w:type="dxa"/>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11</w:t>
            </w:r>
          </w:p>
        </w:tc>
        <w:tc>
          <w:tcPr>
            <w:tcW w:w="4929"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65岁及以上老年人城乡社区规范健康管理服务率</w:t>
            </w:r>
          </w:p>
        </w:tc>
        <w:tc>
          <w:tcPr>
            <w:tcW w:w="724"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eastAsia="zh-CN"/>
              </w:rPr>
            </w:pPr>
            <w:r>
              <w:rPr>
                <w:rFonts w:hint="eastAsia" w:ascii="宋体" w:hAnsi="宋体" w:eastAsia="宋体" w:cs="宋体"/>
                <w:snapToGrid w:val="0"/>
                <w:spacing w:val="0"/>
                <w:kern w:val="0"/>
                <w:position w:val="0"/>
                <w:sz w:val="21"/>
                <w:szCs w:val="21"/>
              </w:rPr>
              <w:t>6</w:t>
            </w:r>
            <w:r>
              <w:rPr>
                <w:rFonts w:hint="eastAsia" w:ascii="宋体" w:hAnsi="宋体" w:eastAsia="宋体" w:cs="宋体"/>
                <w:snapToGrid w:val="0"/>
                <w:spacing w:val="0"/>
                <w:kern w:val="0"/>
                <w:position w:val="0"/>
                <w:sz w:val="21"/>
                <w:szCs w:val="21"/>
                <w:lang w:val="en-US" w:eastAsia="zh-CN"/>
              </w:rPr>
              <w:t>4</w:t>
            </w:r>
          </w:p>
        </w:tc>
        <w:tc>
          <w:tcPr>
            <w:tcW w:w="94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≥65</w:t>
            </w:r>
          </w:p>
        </w:tc>
        <w:tc>
          <w:tcPr>
            <w:tcW w:w="956"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643" w:type="dxa"/>
            <w:tcBorders>
              <w:left w:val="single" w:color="000000" w:sz="4" w:space="0"/>
              <w:bottom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lang w:val="en-US" w:eastAsia="zh-CN"/>
              </w:rPr>
              <w:t>12</w:t>
            </w:r>
          </w:p>
        </w:tc>
        <w:tc>
          <w:tcPr>
            <w:tcW w:w="4929" w:type="dxa"/>
            <w:tcBorders>
              <w:bottom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2"/>
              <w:jc w:val="center"/>
              <w:textAlignment w:val="auto"/>
              <w:outlineLvl w:val="9"/>
              <w:rPr>
                <w:rFonts w:hint="eastAsia" w:ascii="宋体" w:hAnsi="宋体" w:eastAsia="宋体" w:cs="宋体"/>
                <w:snapToGrid w:val="0"/>
                <w:spacing w:val="0"/>
                <w:kern w:val="0"/>
                <w:position w:val="0"/>
                <w:sz w:val="21"/>
                <w:szCs w:val="21"/>
              </w:rPr>
            </w:pPr>
            <w:bookmarkStart w:id="61" w:name="OLE_LINK12"/>
            <w:r>
              <w:rPr>
                <w:rFonts w:hint="eastAsia" w:ascii="宋体" w:hAnsi="宋体" w:eastAsia="宋体" w:cs="宋体"/>
                <w:snapToGrid w:val="0"/>
                <w:spacing w:val="0"/>
                <w:kern w:val="0"/>
                <w:position w:val="0"/>
                <w:sz w:val="21"/>
                <w:szCs w:val="21"/>
              </w:rPr>
              <w:t>基本公共卫生服务知晓率</w:t>
            </w:r>
            <w:bookmarkEnd w:id="61"/>
          </w:p>
        </w:tc>
        <w:tc>
          <w:tcPr>
            <w:tcW w:w="724" w:type="dxa"/>
            <w:tcBorders>
              <w:bottom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w:t>
            </w:r>
          </w:p>
        </w:tc>
        <w:tc>
          <w:tcPr>
            <w:tcW w:w="945" w:type="dxa"/>
            <w:tcBorders>
              <w:bottom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rPr>
              <w:t>≥</w:t>
            </w:r>
            <w:r>
              <w:rPr>
                <w:rFonts w:hint="eastAsia" w:ascii="宋体" w:hAnsi="宋体" w:eastAsia="宋体" w:cs="宋体"/>
                <w:snapToGrid w:val="0"/>
                <w:spacing w:val="0"/>
                <w:kern w:val="0"/>
                <w:position w:val="0"/>
                <w:sz w:val="21"/>
                <w:szCs w:val="21"/>
                <w:lang w:val="en-US" w:eastAsia="zh-CN"/>
              </w:rPr>
              <w:t>71</w:t>
            </w:r>
          </w:p>
        </w:tc>
        <w:tc>
          <w:tcPr>
            <w:tcW w:w="945" w:type="dxa"/>
            <w:tcBorders>
              <w:bottom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≥72</w:t>
            </w:r>
          </w:p>
        </w:tc>
        <w:tc>
          <w:tcPr>
            <w:tcW w:w="956" w:type="dxa"/>
            <w:tcBorders>
              <w:bottom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≥74</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r>
        <w:rPr>
          <w:rFonts w:hint="default" w:ascii="Times New Roman" w:hAnsi="Times New Roman" w:eastAsia="方正黑体_GBK" w:cs="Times New Roman"/>
          <w:snapToGrid w:val="0"/>
          <w:spacing w:val="0"/>
          <w:kern w:val="0"/>
          <w:position w:val="0"/>
          <w:sz w:val="32"/>
          <w:szCs w:val="32"/>
          <w:lang w:eastAsia="zh-CN"/>
        </w:rPr>
        <w:t>附件</w:t>
      </w:r>
      <w:r>
        <w:rPr>
          <w:rFonts w:hint="default" w:ascii="Times New Roman" w:hAnsi="Times New Roman" w:eastAsia="方正黑体_GBK" w:cs="Times New Roman"/>
          <w:snapToGrid w:val="0"/>
          <w:spacing w:val="0"/>
          <w:kern w:val="0"/>
          <w:positio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_GBK" w:cs="Times New Roman"/>
          <w:snapToGrid w:val="0"/>
          <w:spacing w:val="0"/>
          <w:kern w:val="0"/>
          <w:positio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宋体" w:cs="Times New Roman"/>
          <w:snapToGrid w:val="0"/>
          <w:spacing w:val="0"/>
          <w:kern w:val="0"/>
          <w:position w:val="0"/>
          <w:sz w:val="21"/>
          <w:lang w:val="en-US" w:eastAsia="zh-CN"/>
        </w:rPr>
      </w:pPr>
      <w:r>
        <w:rPr>
          <w:rFonts w:hint="default" w:ascii="Times New Roman" w:hAnsi="Times New Roman" w:eastAsia="方正小标宋_GBK" w:cs="Times New Roman"/>
          <w:snapToGrid w:val="0"/>
          <w:spacing w:val="0"/>
          <w:kern w:val="0"/>
          <w:position w:val="0"/>
          <w:sz w:val="44"/>
          <w:szCs w:val="44"/>
        </w:rPr>
        <w:t>紧密型区域医共体建设监测指标体系</w: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outlineLvl w:val="9"/>
        <w:rPr>
          <w:rFonts w:hint="default" w:ascii="Times New Roman" w:hAnsi="Times New Roman" w:eastAsia="方正小标宋_GBK" w:cs="Times New Roman"/>
          <w:snapToGrid w:val="0"/>
          <w:spacing w:val="0"/>
          <w:kern w:val="0"/>
          <w:position w:val="0"/>
          <w:sz w:val="44"/>
          <w:szCs w:val="44"/>
        </w:rPr>
      </w:pPr>
    </w:p>
    <w:tbl>
      <w:tblPr>
        <w:tblStyle w:val="2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0"/>
        <w:gridCol w:w="2157"/>
        <w:gridCol w:w="5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blHeader/>
          <w:jc w:val="center"/>
        </w:trPr>
        <w:tc>
          <w:tcPr>
            <w:tcW w:w="1870" w:type="dxa"/>
            <w:tcBorders>
              <w:top w:val="single" w:color="000000" w:sz="4" w:space="0"/>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一级指标</w:t>
            </w:r>
          </w:p>
        </w:tc>
        <w:tc>
          <w:tcPr>
            <w:tcW w:w="2157" w:type="dxa"/>
            <w:tcBorders>
              <w:top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二级指标</w:t>
            </w:r>
          </w:p>
        </w:tc>
        <w:tc>
          <w:tcPr>
            <w:tcW w:w="5192" w:type="dxa"/>
            <w:tcBorders>
              <w:top w:val="single" w:color="000000" w:sz="4" w:space="0"/>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指标解释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4" w:hRule="atLeast"/>
          <w:jc w:val="center"/>
        </w:trPr>
        <w:tc>
          <w:tcPr>
            <w:tcW w:w="1870" w:type="dxa"/>
            <w:vMerge w:val="restart"/>
            <w:tcBorders>
              <w:lef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35"/>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一、紧密型</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推进组织、人事、财务、业务、 绩效、后勤等统一管理。</w:t>
            </w:r>
          </w:p>
        </w:tc>
        <w:tc>
          <w:tcPr>
            <w:tcW w:w="2157"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26"/>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1．资源统一管理</w:t>
            </w:r>
          </w:p>
        </w:tc>
        <w:tc>
          <w:tcPr>
            <w:tcW w:w="5192"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8"/>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统一人员招聘和使用，统筹平衡区、乡镇</w:t>
            </w:r>
            <w:r>
              <w:rPr>
                <w:rFonts w:hint="eastAsia" w:ascii="宋体" w:hAnsi="宋体" w:eastAsia="宋体" w:cs="宋体"/>
                <w:snapToGrid w:val="0"/>
                <w:spacing w:val="0"/>
                <w:kern w:val="0"/>
                <w:position w:val="0"/>
                <w:sz w:val="21"/>
                <w:szCs w:val="21"/>
                <w:highlight w:val="none"/>
                <w:lang w:eastAsia="zh-CN"/>
              </w:rPr>
              <w:t>（街道）</w:t>
            </w:r>
            <w:r>
              <w:rPr>
                <w:rFonts w:hint="eastAsia" w:ascii="宋体" w:hAnsi="宋体" w:eastAsia="宋体" w:cs="宋体"/>
                <w:snapToGrid w:val="0"/>
                <w:spacing w:val="0"/>
                <w:kern w:val="0"/>
                <w:position w:val="0"/>
                <w:sz w:val="21"/>
                <w:szCs w:val="21"/>
                <w:highlight w:val="none"/>
              </w:rPr>
              <w:t>两级绩效工资水平。</w:t>
            </w:r>
            <w:r>
              <w:rPr>
                <w:rFonts w:hint="eastAsia" w:ascii="宋体" w:hAnsi="宋体" w:eastAsia="宋体" w:cs="宋体"/>
                <w:snapToGrid w:val="0"/>
                <w:spacing w:val="0"/>
                <w:kern w:val="0"/>
                <w:position w:val="0"/>
                <w:sz w:val="21"/>
                <w:szCs w:val="21"/>
                <w:highlight w:val="none"/>
                <w:lang w:eastAsia="zh-CN"/>
              </w:rPr>
              <w:t>探索</w:t>
            </w:r>
            <w:r>
              <w:rPr>
                <w:rFonts w:hint="eastAsia" w:ascii="宋体" w:hAnsi="宋体" w:eastAsia="宋体" w:cs="宋体"/>
                <w:snapToGrid w:val="0"/>
                <w:spacing w:val="0"/>
                <w:kern w:val="0"/>
                <w:position w:val="0"/>
                <w:sz w:val="21"/>
                <w:szCs w:val="21"/>
                <w:highlight w:val="none"/>
              </w:rPr>
              <w:t>对成员单位单独设账、集中核算，</w:t>
            </w:r>
            <w:r>
              <w:rPr>
                <w:rFonts w:hint="eastAsia" w:ascii="宋体" w:hAnsi="宋体" w:eastAsia="宋体" w:cs="宋体"/>
                <w:strike w:val="0"/>
                <w:dstrike w:val="0"/>
                <w:snapToGrid w:val="0"/>
                <w:color w:val="auto"/>
                <w:spacing w:val="0"/>
                <w:kern w:val="0"/>
                <w:position w:val="0"/>
                <w:sz w:val="21"/>
                <w:szCs w:val="21"/>
                <w:highlight w:val="none"/>
                <w:lang w:eastAsia="zh-CN"/>
              </w:rPr>
              <w:t>提前谋划统一账户管理</w:t>
            </w:r>
            <w:r>
              <w:rPr>
                <w:rFonts w:hint="eastAsia" w:ascii="宋体" w:hAnsi="宋体" w:eastAsia="宋体" w:cs="宋体"/>
                <w:snapToGrid w:val="0"/>
                <w:spacing w:val="0"/>
                <w:kern w:val="0"/>
                <w:position w:val="0"/>
                <w:sz w:val="21"/>
                <w:szCs w:val="21"/>
                <w:highlight w:val="none"/>
              </w:rPr>
              <w:t>。药品检验资源统一管理，畅通基层医疗卫生机构与区级医院用药衔接。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9"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2．医共体内部民主决策</w:t>
            </w:r>
          </w:p>
        </w:tc>
        <w:tc>
          <w:tcPr>
            <w:tcW w:w="5192" w:type="dxa"/>
            <w:tcBorders>
              <w:right w:val="single" w:color="000000"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ind w:left="0" w:leftChars="0" w:right="0" w:firstLine="9"/>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制定区域医共体管理章程及相关制度，成员单位参与决策，在绩效考核、收入分配、职称评聘等方面有更多自主权。医共体负责人员中要有基层医疗卫生机构代表。牵头</w:t>
            </w:r>
            <w:r>
              <w:rPr>
                <w:rFonts w:hint="eastAsia" w:ascii="宋体" w:hAnsi="宋体" w:eastAsia="宋体" w:cs="宋体"/>
                <w:snapToGrid w:val="0"/>
                <w:spacing w:val="0"/>
                <w:kern w:val="0"/>
                <w:position w:val="0"/>
                <w:sz w:val="21"/>
                <w:szCs w:val="21"/>
                <w:highlight w:val="none"/>
                <w:lang w:eastAsia="zh-CN"/>
              </w:rPr>
              <w:t>单位</w:t>
            </w:r>
            <w:r>
              <w:rPr>
                <w:rFonts w:hint="eastAsia" w:ascii="宋体" w:hAnsi="宋体" w:eastAsia="宋体" w:cs="宋体"/>
                <w:snapToGrid w:val="0"/>
                <w:spacing w:val="0"/>
                <w:kern w:val="0"/>
                <w:position w:val="0"/>
                <w:sz w:val="21"/>
                <w:szCs w:val="21"/>
                <w:highlight w:val="none"/>
              </w:rPr>
              <w:t>能够代表全部成员单位与医保经办机构签订协议。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5"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3．服务协同联动</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统一区域医共体内规章制度和技术规范等标准，医共体内外转诊规范有序顺畅，做好跟踪接续服务。信息系统数据互通共享，</w:t>
            </w:r>
            <w:r>
              <w:rPr>
                <w:rFonts w:hint="eastAsia" w:ascii="宋体" w:hAnsi="宋体" w:eastAsia="宋体" w:cs="宋体"/>
                <w:snapToGrid w:val="0"/>
                <w:spacing w:val="0"/>
                <w:kern w:val="0"/>
                <w:position w:val="0"/>
                <w:sz w:val="21"/>
                <w:szCs w:val="21"/>
                <w:highlight w:val="none"/>
                <w:lang w:eastAsia="zh-CN"/>
              </w:rPr>
              <w:t>鼓励</w:t>
            </w:r>
            <w:r>
              <w:rPr>
                <w:rFonts w:hint="eastAsia" w:ascii="宋体" w:hAnsi="宋体" w:eastAsia="宋体" w:cs="宋体"/>
                <w:snapToGrid w:val="0"/>
                <w:spacing w:val="0"/>
                <w:kern w:val="0"/>
                <w:position w:val="0"/>
                <w:sz w:val="21"/>
                <w:szCs w:val="21"/>
                <w:highlight w:val="none"/>
              </w:rPr>
              <w:t>远程医疗延伸到乡村，实现基层检查、上级诊断、结果互认共享。健全区域医共体传染病监测预警。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4" w:hRule="atLeast"/>
          <w:jc w:val="center"/>
        </w:trPr>
        <w:tc>
          <w:tcPr>
            <w:tcW w:w="1870" w:type="dxa"/>
            <w:vMerge w:val="restar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二、同质化——推动资源下沉，提升区域医疗卫生服务能力与质量。</w:t>
            </w: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4．二级及以上医疗卫生机构中级及以上医师到基层医疗卫生机构派驻人数（人）/每万常住人口</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二级及以上医疗卫生机构中级及以上医师到基层医疗卫生机构派驻人数（人）=年内二级及以上医疗卫生机构中级及以上医师到基层医疗卫生机构派驻6个月以上的人数（人）×10000/区域内常住人口数</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lang w:val="en-US" w:eastAsia="zh-CN"/>
              </w:rPr>
            </w:pPr>
            <w:r>
              <w:rPr>
                <w:rFonts w:hint="eastAsia" w:ascii="宋体" w:hAnsi="宋体" w:eastAsia="宋体" w:cs="宋体"/>
                <w:snapToGrid w:val="0"/>
                <w:spacing w:val="0"/>
                <w:kern w:val="0"/>
                <w:position w:val="0"/>
                <w:sz w:val="21"/>
                <w:szCs w:val="21"/>
                <w:highlight w:val="none"/>
              </w:rPr>
              <w:t>【数据来源】</w:t>
            </w:r>
            <w:bookmarkStart w:id="62" w:name="OLE_LINK32"/>
            <w:r>
              <w:rPr>
                <w:rFonts w:hint="eastAsia" w:ascii="宋体" w:hAnsi="宋体" w:eastAsia="宋体" w:cs="宋体"/>
                <w:snapToGrid w:val="0"/>
                <w:spacing w:val="0"/>
                <w:kern w:val="0"/>
                <w:position w:val="0"/>
                <w:sz w:val="21"/>
                <w:szCs w:val="21"/>
                <w:highlight w:val="none"/>
                <w:lang w:eastAsia="zh-CN"/>
              </w:rPr>
              <w:t>区卫生健康委</w:t>
            </w:r>
            <w:bookmarkEnd w:id="6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5．影像心电中心服务开展与心电设备村级覆盖率（%）</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（1）每万常住人口影像、心电中心开展远程影像诊断数量=远程医学影像（含影像、心电、超声、核医学、肌电图、脑电图等）诊断人次数×10000/区域内常住人口数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（2）心电设备村级配备率=配备心电设备的行政村卫生室数/区域内行政村卫生室总数×100%</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w:t>
            </w:r>
            <w:r>
              <w:rPr>
                <w:rFonts w:hint="eastAsia" w:ascii="宋体" w:hAnsi="宋体" w:eastAsia="宋体" w:cs="宋体"/>
                <w:snapToGrid w:val="0"/>
                <w:spacing w:val="0"/>
                <w:kern w:val="0"/>
                <w:position w:val="0"/>
                <w:sz w:val="21"/>
                <w:szCs w:val="21"/>
                <w:highlight w:val="none"/>
                <w:lang w:eastAsia="zh-CN"/>
              </w:rPr>
              <w:t>区卫生健康委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6．基层医疗卫生机构人均收入与牵头医院人均收入的比值</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基层医疗卫生机构人均收入与牵头医院人均收入的比值=基层医疗卫生机构人均收入/牵头医院人均收入</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【数据来源】卫生健康财务年报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0" w:hRule="atLeast"/>
          <w:jc w:val="center"/>
        </w:trPr>
        <w:tc>
          <w:tcPr>
            <w:tcW w:w="1870" w:type="dxa"/>
            <w:vMerge w:val="restar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三、促分工——促进有序就医格局形成。</w:t>
            </w: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7．区域内基层医疗卫生机构诊疗人次占比（%）</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区域内基层医疗卫生机构诊疗人次占比（%）=区域内基层医疗卫生机构诊疗人次/区域内总诊疗人次×100%</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其中，区域内基层医疗卫生机构包括社区卫生服务中心（站）、卫生院（</w:t>
            </w:r>
            <w:r>
              <w:rPr>
                <w:rFonts w:hint="eastAsia" w:ascii="宋体" w:hAnsi="宋体" w:eastAsia="宋体" w:cs="宋体"/>
                <w:snapToGrid w:val="0"/>
                <w:spacing w:val="0"/>
                <w:kern w:val="0"/>
                <w:position w:val="0"/>
                <w:sz w:val="21"/>
                <w:szCs w:val="21"/>
                <w:highlight w:val="none"/>
                <w:lang w:eastAsia="zh-CN"/>
              </w:rPr>
              <w:t>中心镇</w:t>
            </w:r>
            <w:r>
              <w:rPr>
                <w:rFonts w:hint="eastAsia" w:ascii="宋体" w:hAnsi="宋体" w:eastAsia="宋体" w:cs="宋体"/>
                <w:snapToGrid w:val="0"/>
                <w:spacing w:val="0"/>
                <w:kern w:val="0"/>
                <w:position w:val="0"/>
                <w:sz w:val="21"/>
                <w:szCs w:val="21"/>
                <w:highlight w:val="none"/>
              </w:rPr>
              <w:t>卫生院、乡镇卫生院）、村卫生室、门诊部（包括综合门诊部、中医门诊部、中西医结合门诊部、民族医门诊部和专科门诊部）、诊所、卫生所、医务室、护理站。</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【数据来源】卫生健康统计年鉴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8．医保基金区县域内支出占比（不含药店）（%）</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医保基金区域内支出占比（不含药店）（%）=区域内定点医疗卫生机构医保基金支出/全区医保基金支出总额（不含药店）×100%</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lang w:eastAsia="zh-CN"/>
              </w:rPr>
            </w:pPr>
            <w:r>
              <w:rPr>
                <w:rFonts w:hint="eastAsia" w:ascii="宋体" w:hAnsi="宋体" w:eastAsia="宋体" w:cs="宋体"/>
                <w:snapToGrid w:val="0"/>
                <w:spacing w:val="0"/>
                <w:kern w:val="0"/>
                <w:position w:val="0"/>
                <w:sz w:val="21"/>
                <w:szCs w:val="21"/>
                <w:highlight w:val="none"/>
              </w:rPr>
              <w:t>【数据来源】</w:t>
            </w:r>
            <w:bookmarkStart w:id="63" w:name="OLE_LINK35"/>
            <w:r>
              <w:rPr>
                <w:rFonts w:hint="eastAsia" w:ascii="宋体" w:hAnsi="宋体" w:eastAsia="宋体" w:cs="宋体"/>
                <w:snapToGrid w:val="0"/>
                <w:spacing w:val="0"/>
                <w:kern w:val="0"/>
                <w:position w:val="0"/>
                <w:sz w:val="21"/>
                <w:szCs w:val="21"/>
                <w:highlight w:val="none"/>
                <w:lang w:eastAsia="zh-CN"/>
              </w:rPr>
              <w:t>区医疗保障局</w:t>
            </w:r>
            <w:bookmarkEnd w:id="6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9．区域内基层医疗卫生机构医保基金支出占比（%）</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区域内基层医疗卫生机构医保基金支出占比（%）=区域内定点基层医疗卫生机构医保基金支出/区域内全部定点医疗卫生机构医保基金支出×100%</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w:t>
            </w:r>
            <w:bookmarkStart w:id="64" w:name="OLE_LINK36"/>
            <w:r>
              <w:rPr>
                <w:rFonts w:hint="eastAsia" w:ascii="宋体" w:hAnsi="宋体" w:eastAsia="宋体" w:cs="宋体"/>
                <w:snapToGrid w:val="0"/>
                <w:spacing w:val="0"/>
                <w:kern w:val="0"/>
                <w:position w:val="0"/>
                <w:sz w:val="21"/>
                <w:szCs w:val="21"/>
                <w:highlight w:val="none"/>
                <w:lang w:eastAsia="zh-CN"/>
              </w:rPr>
              <w:t>区医疗保障局</w:t>
            </w:r>
            <w:bookmarkEnd w:id="6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jc w:val="center"/>
        </w:trPr>
        <w:tc>
          <w:tcPr>
            <w:tcW w:w="1870" w:type="dxa"/>
            <w:vMerge w:val="restar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四、提效能——</w:t>
            </w:r>
            <w:bookmarkStart w:id="65" w:name="OLE_LINK97"/>
            <w:r>
              <w:rPr>
                <w:rFonts w:hint="eastAsia" w:ascii="宋体" w:hAnsi="宋体" w:eastAsia="宋体" w:cs="宋体"/>
                <w:snapToGrid w:val="0"/>
                <w:spacing w:val="0"/>
                <w:kern w:val="0"/>
                <w:position w:val="0"/>
                <w:sz w:val="21"/>
                <w:szCs w:val="21"/>
              </w:rPr>
              <w:t>促进医疗卫生资源有效利用和提高医保基金使用效能</w:t>
            </w:r>
            <w:bookmarkEnd w:id="65"/>
            <w:r>
              <w:rPr>
                <w:rFonts w:hint="eastAsia" w:ascii="宋体" w:hAnsi="宋体" w:eastAsia="宋体" w:cs="宋体"/>
                <w:snapToGrid w:val="0"/>
                <w:spacing w:val="0"/>
                <w:kern w:val="0"/>
                <w:position w:val="0"/>
                <w:sz w:val="21"/>
                <w:szCs w:val="21"/>
              </w:rPr>
              <w:t>。</w:t>
            </w: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10．参保人在区域内住院人均费用（元）及增长率（%）</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（1）参保人在区域内住院人均费用（元）=全区参保人区域内住院总费用/全</w:t>
            </w:r>
            <w:r>
              <w:rPr>
                <w:rFonts w:hint="eastAsia" w:ascii="宋体" w:hAnsi="宋体" w:eastAsia="宋体" w:cs="宋体"/>
                <w:snapToGrid w:val="0"/>
                <w:spacing w:val="0"/>
                <w:kern w:val="0"/>
                <w:position w:val="0"/>
                <w:sz w:val="21"/>
                <w:szCs w:val="21"/>
                <w:highlight w:val="none"/>
                <w:lang w:eastAsia="zh-CN"/>
              </w:rPr>
              <w:t>区</w:t>
            </w:r>
            <w:r>
              <w:rPr>
                <w:rFonts w:hint="eastAsia" w:ascii="宋体" w:hAnsi="宋体" w:eastAsia="宋体" w:cs="宋体"/>
                <w:snapToGrid w:val="0"/>
                <w:spacing w:val="0"/>
                <w:kern w:val="0"/>
                <w:position w:val="0"/>
                <w:sz w:val="21"/>
                <w:szCs w:val="21"/>
                <w:highlight w:val="none"/>
              </w:rPr>
              <w:t>参保人区域内住院人数</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（2）参保人在区域内住院人均费用增长率（%）=（本年度全区参保人在区域内住院人均费用－上一年度全区参保人在区域内住院人均费用）/上一年度全区参保人在区域内住院人均费用×100%</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w:t>
            </w:r>
            <w:r>
              <w:rPr>
                <w:rFonts w:hint="eastAsia" w:ascii="宋体" w:hAnsi="宋体" w:eastAsia="宋体" w:cs="宋体"/>
                <w:snapToGrid w:val="0"/>
                <w:spacing w:val="0"/>
                <w:kern w:val="0"/>
                <w:position w:val="0"/>
                <w:sz w:val="21"/>
                <w:szCs w:val="21"/>
                <w:highlight w:val="none"/>
                <w:lang w:eastAsia="zh-CN"/>
              </w:rPr>
              <w:t>区医疗保障局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11．参保人区域内住院人次占比（%）</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参保人区域内住院人次占比（%）=全区参保人区域内住院人次/全区参保人住院总人次×100%</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w:t>
            </w:r>
            <w:bookmarkStart w:id="66" w:name="OLE_LINK37"/>
            <w:r>
              <w:rPr>
                <w:rFonts w:hint="eastAsia" w:ascii="宋体" w:hAnsi="宋体" w:eastAsia="宋体" w:cs="宋体"/>
                <w:snapToGrid w:val="0"/>
                <w:spacing w:val="0"/>
                <w:kern w:val="0"/>
                <w:position w:val="0"/>
                <w:sz w:val="21"/>
                <w:szCs w:val="21"/>
                <w:highlight w:val="none"/>
                <w:lang w:eastAsia="zh-CN"/>
              </w:rPr>
              <w:t>区医疗保障局</w:t>
            </w:r>
            <w:bookmarkEnd w:id="6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12．区域内中医类诊疗量占比（%）</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区域内中医类诊疗量占比（%）=（中医类医疗机构诊疗量+非中医类医疗机构中医类临床科室诊疗量+村卫生室中医诊疗量）/区域内总诊疗量×100%</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【数据来源】卫生健康统计年鉴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2" w:hRule="atLeast"/>
          <w:jc w:val="center"/>
        </w:trPr>
        <w:tc>
          <w:tcPr>
            <w:tcW w:w="1870" w:type="dxa"/>
            <w:vMerge w:val="restar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五、保健康——提升区域居民获得感和健康水平。</w:t>
            </w: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13．区域内慢性病健康管理人群住院率（%）</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区域内慢性病健康管理人群住院率（%）=年内慢性病健康管理人群在医保系统中有出院记录的人次数/区域内慢性病患者建档人数×100%；慢性病主要是高血压和糖尿病，管理建档人数需符合国家基本公 共卫生服务项目要求。</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w:t>
            </w:r>
            <w:bookmarkStart w:id="67" w:name="OLE_LINK38"/>
            <w:r>
              <w:rPr>
                <w:rFonts w:hint="eastAsia" w:ascii="宋体" w:hAnsi="宋体" w:eastAsia="宋体" w:cs="宋体"/>
                <w:snapToGrid w:val="0"/>
                <w:spacing w:val="0"/>
                <w:kern w:val="0"/>
                <w:position w:val="0"/>
                <w:sz w:val="21"/>
                <w:szCs w:val="21"/>
                <w:highlight w:val="none"/>
                <w:lang w:eastAsia="zh-CN"/>
              </w:rPr>
              <w:t>区医疗保障局和区卫生健康委</w:t>
            </w:r>
            <w:bookmarkEnd w:id="6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jc w:val="center"/>
        </w:trPr>
        <w:tc>
          <w:tcPr>
            <w:tcW w:w="187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14．区域内四类慢性病过早死亡率（%）</w:t>
            </w:r>
          </w:p>
        </w:tc>
        <w:tc>
          <w:tcPr>
            <w:tcW w:w="519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【计算方法】</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36−69岁人群因心脑血管疾病、恶性肿瘤、糖尿病、慢性呼吸系统疾病死亡的（无条件）概率。</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outlineLvl w:val="9"/>
              <w:rPr>
                <w:rFonts w:hint="eastAsia" w:ascii="宋体" w:hAnsi="宋体" w:eastAsia="宋体" w:cs="宋体"/>
                <w:snapToGrid w:val="0"/>
                <w:spacing w:val="0"/>
                <w:kern w:val="0"/>
                <w:position w:val="0"/>
                <w:sz w:val="21"/>
                <w:szCs w:val="21"/>
                <w:highlight w:val="none"/>
              </w:rPr>
            </w:pPr>
            <w:r>
              <w:rPr>
                <w:rFonts w:hint="eastAsia" w:ascii="宋体" w:hAnsi="宋体" w:eastAsia="宋体" w:cs="宋体"/>
                <w:snapToGrid w:val="0"/>
                <w:spacing w:val="0"/>
                <w:kern w:val="0"/>
                <w:position w:val="0"/>
                <w:sz w:val="21"/>
                <w:szCs w:val="21"/>
                <w:highlight w:val="none"/>
              </w:rPr>
              <w:t>【数据来源】</w:t>
            </w:r>
            <w:r>
              <w:rPr>
                <w:rFonts w:hint="eastAsia" w:ascii="宋体" w:hAnsi="宋体" w:eastAsia="宋体" w:cs="宋体"/>
                <w:snapToGrid w:val="0"/>
                <w:spacing w:val="0"/>
                <w:kern w:val="0"/>
                <w:position w:val="0"/>
                <w:sz w:val="21"/>
                <w:szCs w:val="21"/>
                <w:highlight w:val="none"/>
                <w:lang w:eastAsia="zh-CN"/>
              </w:rPr>
              <w:t>区卫生健康委</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方正仿宋_GBK" w:cs="Times New Roman"/>
          <w:snapToGrid w:val="0"/>
          <w:spacing w:val="0"/>
          <w:kern w:val="0"/>
          <w:positio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注：</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紧密型</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为定性指标，通过政策文件、实物及资料佐证、访谈调查等综合评判，以有</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both"/>
        <w:textAlignment w:val="auto"/>
        <w:outlineLvl w:val="9"/>
        <w:rPr>
          <w:rFonts w:hint="eastAsia" w:ascii="宋体" w:hAnsi="宋体" w:eastAsia="宋体" w:cs="宋体"/>
          <w:snapToGrid w:val="0"/>
          <w:spacing w:val="0"/>
          <w:kern w:val="0"/>
          <w:position w:val="0"/>
          <w:sz w:val="21"/>
          <w:szCs w:val="21"/>
          <w:lang w:val="en-US" w:eastAsia="zh-CN"/>
        </w:rPr>
      </w:pPr>
      <w:r>
        <w:rPr>
          <w:rFonts w:hint="eastAsia" w:ascii="宋体" w:hAnsi="宋体" w:eastAsia="宋体" w:cs="宋体"/>
          <w:snapToGrid w:val="0"/>
          <w:spacing w:val="0"/>
          <w:kern w:val="0"/>
          <w:position w:val="0"/>
          <w:sz w:val="21"/>
          <w:szCs w:val="21"/>
        </w:rPr>
        <w:t>明确的制度安排并已组织实施为标准。</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黑体_GBK" w:hAnsi="方正黑体_GBK" w:eastAsia="方正黑体_GBK" w:cs="方正黑体_GBK"/>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黑体_GBK" w:hAnsi="方正黑体_GBK" w:eastAsia="方正黑体_GBK" w:cs="方正黑体_GBK"/>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黑体_GBK" w:hAnsi="方正黑体_GBK" w:eastAsia="方正黑体_GBK" w:cs="方正黑体_GBK"/>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黑体_GBK" w:hAnsi="方正黑体_GBK" w:eastAsia="方正黑体_GBK" w:cs="方正黑体_GBK"/>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黑体_GBK" w:hAnsi="方正黑体_GBK" w:eastAsia="方正黑体_GBK" w:cs="方正黑体_GBK"/>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黑体_GBK" w:hAnsi="方正黑体_GBK" w:eastAsia="方正黑体_GBK" w:cs="方正黑体_GBK"/>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黑体_GBK" w:hAnsi="方正黑体_GBK" w:eastAsia="方正黑体_GBK" w:cs="方正黑体_GBK"/>
          <w:snapToGrid w:val="0"/>
          <w:spacing w:val="0"/>
          <w:kern w:val="0"/>
          <w:position w:val="0"/>
          <w:sz w:val="32"/>
          <w:szCs w:val="32"/>
          <w:lang w:val="en-US" w:eastAsia="zh-CN"/>
        </w:rPr>
      </w:pPr>
      <w:r>
        <w:rPr>
          <w:rFonts w:hint="eastAsia" w:ascii="方正黑体_GBK" w:hAnsi="方正黑体_GBK" w:eastAsia="方正黑体_GBK" w:cs="方正黑体_GBK"/>
          <w:snapToGrid w:val="0"/>
          <w:spacing w:val="0"/>
          <w:kern w:val="0"/>
          <w:positio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黑体_GBK" w:cs="Times New Roman"/>
          <w:snapToGrid w:val="0"/>
          <w:spacing w:val="0"/>
          <w:kern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黑体_GBK" w:cs="Times New Roman"/>
          <w:snapToGrid w:val="0"/>
          <w:spacing w:val="0"/>
          <w:kern w:val="0"/>
          <w:position w:val="0"/>
          <w:sz w:val="44"/>
          <w:szCs w:val="44"/>
          <w:lang w:val="en-US" w:eastAsia="zh-CN"/>
        </w:rPr>
      </w:pPr>
      <w:r>
        <w:rPr>
          <w:rFonts w:hint="eastAsia" w:ascii="Times New Roman" w:hAnsi="Times New Roman" w:eastAsia="方正小标宋_GBK" w:cs="Times New Roman"/>
          <w:snapToGrid w:val="0"/>
          <w:spacing w:val="0"/>
          <w:kern w:val="0"/>
          <w:position w:val="0"/>
          <w:sz w:val="44"/>
          <w:szCs w:val="44"/>
          <w:lang w:eastAsia="zh-CN"/>
        </w:rPr>
        <w:t>“</w:t>
      </w:r>
      <w:r>
        <w:rPr>
          <w:rFonts w:hint="default" w:ascii="Times New Roman" w:hAnsi="Times New Roman" w:eastAsia="方正小标宋_GBK" w:cs="Times New Roman"/>
          <w:snapToGrid w:val="0"/>
          <w:spacing w:val="0"/>
          <w:kern w:val="0"/>
          <w:position w:val="0"/>
          <w:sz w:val="44"/>
          <w:szCs w:val="44"/>
        </w:rPr>
        <w:t>四个重大</w:t>
      </w:r>
      <w:r>
        <w:rPr>
          <w:rFonts w:hint="eastAsia" w:ascii="Times New Roman" w:hAnsi="Times New Roman" w:eastAsia="方正小标宋_GBK" w:cs="Times New Roman"/>
          <w:snapToGrid w:val="0"/>
          <w:spacing w:val="0"/>
          <w:kern w:val="0"/>
          <w:position w:val="0"/>
          <w:sz w:val="44"/>
          <w:szCs w:val="44"/>
          <w:lang w:eastAsia="zh-CN"/>
        </w:rPr>
        <w:t>”</w:t>
      </w:r>
      <w:r>
        <w:rPr>
          <w:rFonts w:hint="default" w:ascii="Times New Roman" w:hAnsi="Times New Roman" w:eastAsia="方正小标宋_GBK" w:cs="Times New Roman"/>
          <w:snapToGrid w:val="0"/>
          <w:spacing w:val="0"/>
          <w:kern w:val="0"/>
          <w:position w:val="0"/>
          <w:sz w:val="44"/>
          <w:szCs w:val="44"/>
        </w:rPr>
        <w:t>清单</w:t>
      </w:r>
    </w:p>
    <w:tbl>
      <w:tblPr>
        <w:tblStyle w:val="2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5078"/>
        <w:gridCol w:w="2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blHeader/>
          <w:jc w:val="center"/>
        </w:trPr>
        <w:tc>
          <w:tcPr>
            <w:tcW w:w="1520"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类别</w:t>
            </w:r>
          </w:p>
        </w:tc>
        <w:tc>
          <w:tcPr>
            <w:tcW w:w="5078"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名称</w:t>
            </w:r>
          </w:p>
        </w:tc>
        <w:tc>
          <w:tcPr>
            <w:tcW w:w="2282" w:type="dxa"/>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牵头单位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jc w:val="center"/>
        </w:trPr>
        <w:tc>
          <w:tcPr>
            <w:tcW w:w="1520" w:type="dxa"/>
            <w:vMerge w:val="restart"/>
            <w:tcBorders>
              <w:left w:val="single" w:color="000000"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重大项目</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highlight w:val="none"/>
              </w:rPr>
              <w:t>区域医共体设备更新项目</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jc w:val="center"/>
        </w:trPr>
        <w:tc>
          <w:tcPr>
            <w:tcW w:w="1520" w:type="dxa"/>
            <w:vMerge w:val="continue"/>
            <w:tcBorders>
              <w:top w:val="nil"/>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区域医疗卫生次中心建设项目</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发展改革委</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1520" w:type="dxa"/>
            <w:vMerge w:val="restart"/>
            <w:tcBorders>
              <w:left w:val="single" w:color="000000"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重大改革</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落实“</w:t>
            </w:r>
            <w:r>
              <w:rPr>
                <w:rFonts w:hint="eastAsia" w:ascii="宋体" w:hAnsi="宋体" w:eastAsia="宋体" w:cs="宋体"/>
                <w:snapToGrid w:val="0"/>
                <w:spacing w:val="0"/>
                <w:kern w:val="0"/>
                <w:position w:val="0"/>
                <w:sz w:val="21"/>
                <w:szCs w:val="21"/>
              </w:rPr>
              <w:t>四级贯通</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梯次人才帮带机制</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520" w:type="dxa"/>
            <w:vMerge w:val="continue"/>
            <w:tcBorders>
              <w:top w:val="nil"/>
              <w:left w:val="single" w:color="000000"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五大共享中心</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推进优质医疗资源共享</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520" w:type="dxa"/>
            <w:vMerge w:val="continue"/>
            <w:tcBorders>
              <w:top w:val="nil"/>
              <w:left w:val="single" w:color="000000"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推进医共体数字化建设</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520" w:type="dxa"/>
            <w:vMerge w:val="continue"/>
            <w:tcBorders>
              <w:top w:val="nil"/>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现代社区健康服务新模式</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jc w:val="center"/>
        </w:trPr>
        <w:tc>
          <w:tcPr>
            <w:tcW w:w="1520" w:type="dxa"/>
            <w:vMerge w:val="restart"/>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重大政策</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关于</w:t>
            </w:r>
            <w:bookmarkStart w:id="68" w:name="OLE_LINK29"/>
            <w:r>
              <w:rPr>
                <w:rFonts w:hint="eastAsia" w:ascii="宋体" w:hAnsi="宋体" w:eastAsia="宋体" w:cs="宋体"/>
                <w:snapToGrid w:val="0"/>
                <w:spacing w:val="0"/>
                <w:kern w:val="0"/>
                <w:position w:val="0"/>
                <w:sz w:val="21"/>
                <w:szCs w:val="21"/>
              </w:rPr>
              <w:t>推进家庭医生服务和村（社区）网格</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双向融合</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加强基层健康治理</w:t>
            </w:r>
            <w:bookmarkEnd w:id="68"/>
            <w:r>
              <w:rPr>
                <w:rFonts w:hint="eastAsia" w:ascii="宋体" w:hAnsi="宋体" w:eastAsia="宋体" w:cs="宋体"/>
                <w:snapToGrid w:val="0"/>
                <w:spacing w:val="0"/>
                <w:kern w:val="0"/>
                <w:position w:val="0"/>
                <w:sz w:val="21"/>
                <w:szCs w:val="21"/>
              </w:rPr>
              <w:t>机制的指导意见</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lang w:eastAsia="zh-CN"/>
              </w:rPr>
            </w:pPr>
            <w:r>
              <w:rPr>
                <w:rFonts w:hint="eastAsia" w:ascii="宋体" w:hAnsi="宋体" w:eastAsia="宋体" w:cs="宋体"/>
                <w:snapToGrid w:val="0"/>
                <w:spacing w:val="0"/>
                <w:kern w:val="0"/>
                <w:position w:val="0"/>
                <w:sz w:val="21"/>
                <w:szCs w:val="21"/>
                <w:lang w:eastAsia="zh-CN"/>
              </w:rPr>
              <w:t>区委社会工作部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jc w:val="center"/>
        </w:trPr>
        <w:tc>
          <w:tcPr>
            <w:tcW w:w="1520" w:type="dxa"/>
            <w:vMerge w:val="continue"/>
            <w:tcBorders>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关于开展现代社区健康服务模式改革试点的实施方案</w:t>
            </w:r>
          </w:p>
        </w:tc>
        <w:tc>
          <w:tcPr>
            <w:tcW w:w="2282" w:type="dxa"/>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jc w:val="center"/>
        </w:trPr>
        <w:tc>
          <w:tcPr>
            <w:tcW w:w="1520" w:type="dxa"/>
            <w:tcBorders>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rPr>
              <w:t>重大平台</w:t>
            </w:r>
          </w:p>
        </w:tc>
        <w:tc>
          <w:tcPr>
            <w:tcW w:w="5078"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highlight w:val="none"/>
                <w:lang w:eastAsia="zh-CN"/>
              </w:rPr>
              <w:t>落实“</w:t>
            </w:r>
            <w:r>
              <w:rPr>
                <w:rFonts w:hint="eastAsia" w:ascii="宋体" w:hAnsi="宋体" w:eastAsia="宋体" w:cs="宋体"/>
                <w:snapToGrid w:val="0"/>
                <w:spacing w:val="0"/>
                <w:kern w:val="0"/>
                <w:position w:val="0"/>
                <w:sz w:val="21"/>
                <w:szCs w:val="21"/>
                <w:highlight w:val="none"/>
              </w:rPr>
              <w:t>云医</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医检互认</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疫智防控</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highlight w:val="none"/>
              </w:rPr>
              <w:t>智慧急救</w:t>
            </w:r>
            <w:r>
              <w:rPr>
                <w:rFonts w:hint="eastAsia" w:ascii="宋体" w:hAnsi="宋体" w:eastAsia="宋体" w:cs="宋体"/>
                <w:snapToGrid w:val="0"/>
                <w:spacing w:val="0"/>
                <w:kern w:val="0"/>
                <w:position w:val="0"/>
                <w:sz w:val="21"/>
                <w:szCs w:val="21"/>
                <w:highlight w:val="none"/>
                <w:lang w:eastAsia="zh-CN"/>
              </w:rPr>
              <w:t>”“</w:t>
            </w:r>
            <w:r>
              <w:rPr>
                <w:rFonts w:hint="eastAsia" w:ascii="宋体" w:hAnsi="宋体" w:eastAsia="宋体" w:cs="宋体"/>
                <w:snapToGrid w:val="0"/>
                <w:spacing w:val="0"/>
                <w:kern w:val="0"/>
                <w:position w:val="0"/>
                <w:sz w:val="21"/>
                <w:szCs w:val="21"/>
              </w:rPr>
              <w:t>健康一生</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家医有约</w:t>
            </w:r>
            <w:r>
              <w:rPr>
                <w:rFonts w:hint="eastAsia" w:ascii="宋体" w:hAnsi="宋体" w:eastAsia="宋体" w:cs="宋体"/>
                <w:snapToGrid w:val="0"/>
                <w:spacing w:val="0"/>
                <w:kern w:val="0"/>
                <w:position w:val="0"/>
                <w:sz w:val="21"/>
                <w:szCs w:val="21"/>
                <w:lang w:eastAsia="zh-CN"/>
              </w:rPr>
              <w:t>”</w:t>
            </w:r>
            <w:r>
              <w:rPr>
                <w:rFonts w:hint="eastAsia" w:ascii="宋体" w:hAnsi="宋体" w:eastAsia="宋体" w:cs="宋体"/>
                <w:snapToGrid w:val="0"/>
                <w:spacing w:val="0"/>
                <w:kern w:val="0"/>
                <w:position w:val="0"/>
                <w:sz w:val="21"/>
                <w:szCs w:val="21"/>
              </w:rPr>
              <w:t>应用</w:t>
            </w:r>
          </w:p>
        </w:tc>
        <w:tc>
          <w:tcPr>
            <w:tcW w:w="2282"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snapToGrid w:val="0"/>
                <w:spacing w:val="0"/>
                <w:kern w:val="0"/>
                <w:position w:val="0"/>
                <w:sz w:val="21"/>
                <w:szCs w:val="21"/>
              </w:rPr>
            </w:pPr>
            <w:r>
              <w:rPr>
                <w:rFonts w:hint="eastAsia" w:ascii="宋体" w:hAnsi="宋体" w:eastAsia="宋体" w:cs="宋体"/>
                <w:snapToGrid w:val="0"/>
                <w:spacing w:val="0"/>
                <w:kern w:val="0"/>
                <w:position w:val="0"/>
                <w:sz w:val="21"/>
                <w:szCs w:val="21"/>
                <w:lang w:eastAsia="zh-CN"/>
              </w:rPr>
              <w:t>区</w:t>
            </w:r>
            <w:r>
              <w:rPr>
                <w:rFonts w:hint="eastAsia" w:ascii="宋体" w:hAnsi="宋体" w:eastAsia="宋体" w:cs="宋体"/>
                <w:snapToGrid w:val="0"/>
                <w:spacing w:val="0"/>
                <w:kern w:val="0"/>
                <w:position w:val="0"/>
                <w:sz w:val="21"/>
                <w:szCs w:val="21"/>
              </w:rPr>
              <w:t>卫生健康委</w:t>
            </w:r>
          </w:p>
        </w:tc>
      </w:tr>
    </w:tbl>
    <w:p>
      <w:pPr>
        <w:keepNext w:val="0"/>
        <w:keepLines w:val="0"/>
        <w:pageBreakBefore w:val="0"/>
        <w:kinsoku/>
        <w:overflowPunct/>
        <w:topLinePunct w:val="0"/>
        <w:bidi w:val="0"/>
        <w:spacing w:line="600" w:lineRule="atLeast"/>
        <w:ind w:left="0" w:leftChars="0" w:right="0" w:rightChars="0"/>
        <w:jc w:val="both"/>
        <w:textAlignment w:val="auto"/>
        <w:rPr>
          <w:rFonts w:hint="eastAsia" w:ascii="Times New Roman" w:hAnsi="Times New Roman" w:eastAsia="方正仿宋_GBK" w:cstheme="minorBidi"/>
          <w:vanish/>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rPr>
          <w:rFonts w:hint="eastAsia"/>
          <w:lang w:eastAsia="zh-CN"/>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重庆市巴南区人民政府办公室</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8268970</wp:posOffset>
              </wp:positionH>
              <wp:positionV relativeFrom="paragraph">
                <wp:posOffset>-19685</wp:posOffset>
              </wp:positionV>
              <wp:extent cx="24130" cy="160020"/>
              <wp:effectExtent l="10795" t="1905" r="22225" b="9525"/>
              <wp:wrapNone/>
              <wp:docPr id="11" name="直接连接符 11"/>
              <wp:cNvGraphicFramePr/>
              <a:graphic xmlns:a="http://schemas.openxmlformats.org/drawingml/2006/main">
                <a:graphicData uri="http://schemas.microsoft.com/office/word/2010/wordprocessingShape">
                  <wps:wsp>
                    <wps:cNvCnPr/>
                    <wps:spPr>
                      <a:xfrm flipH="1">
                        <a:off x="0" y="0"/>
                        <a:ext cx="24130" cy="1600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51.1pt;margin-top:-1.55pt;height:12.6pt;width:1.9pt;z-index:251663360;mso-width-relative:page;mso-height-relative:page;" filled="f" stroked="t" coordsize="21600,21600" o:gfxdata="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TP52NoAAAALAQAADwAAAAAAAAABACAAAAAiAAAAZHJzL2Rvd25yZXYueG1sUEsB&#10;AhQAFAAAAAgAh07iQNNcIyDzAQAAwQMAAA4AAAAAAAAAAQAgAAAAKQEAAGRycy9lMm9Eb2MueG1s&#10;UEsFBgAAAAAGAAYAWQEAAI4FA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8200390</wp:posOffset>
              </wp:positionH>
              <wp:positionV relativeFrom="paragraph">
                <wp:posOffset>252730</wp:posOffset>
              </wp:positionV>
              <wp:extent cx="464185" cy="53975"/>
              <wp:effectExtent l="1270" t="10795" r="10795" b="11430"/>
              <wp:wrapNone/>
              <wp:docPr id="2" name="直接连接符 2"/>
              <wp:cNvGraphicFramePr/>
              <a:graphic xmlns:a="http://schemas.openxmlformats.org/drawingml/2006/main">
                <a:graphicData uri="http://schemas.microsoft.com/office/word/2010/wordprocessingShape">
                  <wps:wsp>
                    <wps:cNvCnPr/>
                    <wps:spPr>
                      <a:xfrm flipH="1" flipV="1">
                        <a:off x="4133850" y="864870"/>
                        <a:ext cx="464185" cy="539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645.7pt;margin-top:19.9pt;height:4.25pt;width:36.55pt;z-index:251662336;mso-width-relative:page;mso-height-relative:page;" filled="f" stroked="t" coordsize="21600,21600" o:gfxdata="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hKo7ZAAAACwEAAA8AAAAAAAAAAQAgAAAAIgAAAGRycy9k&#10;b3ducmV2LnhtbFBLAQIUABQAAAAIAIdO4kCvjBEpAQIAANQDAAAOAAAAAAAAAAEAIAAAACgBAABk&#10;cnMvZTJvRG9jLnhtbFBLBQYAAAAABgAGAFkBAACb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20490"/>
    <w:multiLevelType w:val="singleLevel"/>
    <w:tmpl w:val="EB72049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172A27"/>
    <w:rsid w:val="019E71BD"/>
    <w:rsid w:val="01E93D58"/>
    <w:rsid w:val="0301594D"/>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BFA6718"/>
    <w:rsid w:val="1CF734C9"/>
    <w:rsid w:val="1DEC284C"/>
    <w:rsid w:val="1E6523AC"/>
    <w:rsid w:val="1EB2590D"/>
    <w:rsid w:val="22440422"/>
    <w:rsid w:val="22BB4BBB"/>
    <w:rsid w:val="25BE0F61"/>
    <w:rsid w:val="25EB1AF4"/>
    <w:rsid w:val="2DD05FE1"/>
    <w:rsid w:val="2EAE3447"/>
    <w:rsid w:val="307C3F0D"/>
    <w:rsid w:val="31A15F24"/>
    <w:rsid w:val="36FB1DF0"/>
    <w:rsid w:val="38214BEF"/>
    <w:rsid w:val="395347B5"/>
    <w:rsid w:val="39A232A0"/>
    <w:rsid w:val="39E745AA"/>
    <w:rsid w:val="3B5A6BBB"/>
    <w:rsid w:val="3CA154E3"/>
    <w:rsid w:val="3E802451"/>
    <w:rsid w:val="3EDA13A6"/>
    <w:rsid w:val="3EED84AC"/>
    <w:rsid w:val="3FF56C14"/>
    <w:rsid w:val="417B75E9"/>
    <w:rsid w:val="42430A63"/>
    <w:rsid w:val="42F058B7"/>
    <w:rsid w:val="436109F6"/>
    <w:rsid w:val="441A38D4"/>
    <w:rsid w:val="4504239D"/>
    <w:rsid w:val="470D631C"/>
    <w:rsid w:val="4A555968"/>
    <w:rsid w:val="4BC77339"/>
    <w:rsid w:val="4C9236C5"/>
    <w:rsid w:val="4CE355E2"/>
    <w:rsid w:val="4E250A85"/>
    <w:rsid w:val="4FFD4925"/>
    <w:rsid w:val="505C172E"/>
    <w:rsid w:val="506405EA"/>
    <w:rsid w:val="52F46F0B"/>
    <w:rsid w:val="532606C6"/>
    <w:rsid w:val="532B6A10"/>
    <w:rsid w:val="539E4E99"/>
    <w:rsid w:val="53D8014D"/>
    <w:rsid w:val="550C209A"/>
    <w:rsid w:val="55681576"/>
    <w:rsid w:val="55E064E0"/>
    <w:rsid w:val="572C6D10"/>
    <w:rsid w:val="5DC34279"/>
    <w:rsid w:val="5FCD688E"/>
    <w:rsid w:val="5FF9BDAA"/>
    <w:rsid w:val="608816D1"/>
    <w:rsid w:val="60EF4E7F"/>
    <w:rsid w:val="648B0A32"/>
    <w:rsid w:val="658F6764"/>
    <w:rsid w:val="65B54B77"/>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1"/>
    <w:qFormat/>
    <w:uiPriority w:val="1"/>
    <w:pPr>
      <w:autoSpaceDE w:val="0"/>
      <w:autoSpaceDN w:val="0"/>
      <w:spacing w:line="240" w:lineRule="auto"/>
      <w:ind w:firstLine="0" w:firstLineChars="0"/>
      <w:jc w:val="left"/>
    </w:pPr>
    <w:rPr>
      <w:rFonts w:ascii="仿宋_GB2312" w:hAnsi="仿宋_GB2312" w:eastAsia="仿宋_GB2312" w:cs="仿宋_GB2312"/>
      <w:i/>
      <w:kern w:val="0"/>
      <w:szCs w:val="32"/>
      <w:lang w:eastAsia="en-US"/>
    </w:r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Body Text Indent"/>
    <w:basedOn w:val="1"/>
    <w:unhideWhenUsed/>
    <w:qFormat/>
    <w:uiPriority w:val="99"/>
    <w:pPr>
      <w:spacing w:after="120"/>
      <w:ind w:left="420" w:leftChars="200"/>
    </w:pPr>
  </w:style>
  <w:style w:type="paragraph" w:styleId="8">
    <w:name w:val="Balloon Text"/>
    <w:basedOn w:val="1"/>
    <w:next w:val="1"/>
    <w:qFormat/>
    <w:uiPriority w:val="99"/>
    <w:pPr>
      <w:spacing w:line="240" w:lineRule="auto"/>
      <w:ind w:firstLine="200" w:firstLineChars="200"/>
    </w:pPr>
    <w:rPr>
      <w:rFonts w:ascii="方正仿宋_GBK" w:hAnsi="Times New Roman" w:cs="Times New Roman"/>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index 7"/>
    <w:basedOn w:val="1"/>
    <w:next w:val="1"/>
    <w:unhideWhenUsed/>
    <w:qFormat/>
    <w:uiPriority w:val="99"/>
    <w:pPr>
      <w:ind w:left="1200" w:leftChars="1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索引 51"/>
    <w:basedOn w:val="1"/>
    <w:next w:val="1"/>
    <w:qFormat/>
    <w:uiPriority w:val="0"/>
    <w:pPr>
      <w:ind w:left="1680"/>
    </w:pPr>
  </w:style>
  <w:style w:type="paragraph" w:customStyle="1" w:styleId="18">
    <w:name w:val="Body text|1"/>
    <w:basedOn w:val="1"/>
    <w:qFormat/>
    <w:uiPriority w:val="0"/>
    <w:pPr>
      <w:spacing w:line="413" w:lineRule="auto"/>
      <w:ind w:firstLine="400"/>
    </w:pPr>
    <w:rPr>
      <w:rFonts w:ascii="宋体" w:hAnsi="宋体" w:eastAsia="宋体" w:cs="宋体"/>
      <w:sz w:val="30"/>
      <w:szCs w:val="30"/>
      <w:lang w:val="zh-TW" w:eastAsia="zh-TW"/>
    </w:rPr>
  </w:style>
  <w:style w:type="character" w:customStyle="1" w:styleId="19">
    <w:name w:val="NormalCharacter"/>
    <w:qFormat/>
    <w:uiPriority w:val="0"/>
    <w:rPr>
      <w:kern w:val="2"/>
      <w:sz w:val="21"/>
      <w:lang w:val="en-US" w:eastAsia="zh-CN"/>
    </w:rPr>
  </w:style>
  <w:style w:type="paragraph" w:customStyle="1" w:styleId="20">
    <w:name w:val="Table Text"/>
    <w:semiHidden/>
    <w:qFormat/>
    <w:uiPriority w:val="0"/>
    <w:pPr>
      <w:widowControl w:val="0"/>
      <w:jc w:val="both"/>
    </w:pPr>
    <w:rPr>
      <w:rFonts w:ascii="Arial" w:hAnsi="Arial" w:eastAsia="Arial" w:cs="Arial"/>
      <w:kern w:val="2"/>
      <w:sz w:val="21"/>
      <w:szCs w:val="21"/>
      <w:lang w:val="en-US" w:eastAsia="en-US" w:bidi="ar-SA"/>
    </w:rPr>
  </w:style>
  <w:style w:type="table" w:customStyle="1" w:styleId="2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324</Words>
  <Characters>353</Characters>
  <Lines>1</Lines>
  <Paragraphs>1</Paragraphs>
  <TotalTime>1</TotalTime>
  <ScaleCrop>false</ScaleCrop>
  <LinksUpToDate>false</LinksUpToDate>
  <CharactersWithSpaces>391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2025-07-24T07:15:17Z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FF01BF2AEC5D425987104F29546AE595</vt:lpwstr>
  </property>
</Properties>
</file>