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1D7554">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5A6885" w:rsidRDefault="005A6885" w:rsidP="002211E3">
      <w:pPr>
        <w:jc w:val="center"/>
        <w:rPr>
          <w:rFonts w:ascii="方正小标宋_GBK" w:eastAsia="方正小标宋_GBK"/>
          <w:bCs/>
          <w:sz w:val="44"/>
          <w:szCs w:val="44"/>
        </w:rPr>
      </w:pPr>
      <w:r w:rsidRPr="005A6885">
        <w:rPr>
          <w:rFonts w:ascii="方正小标宋_GBK" w:eastAsia="方正小标宋_GBK" w:hint="eastAsia"/>
          <w:bCs/>
          <w:sz w:val="44"/>
          <w:szCs w:val="44"/>
        </w:rPr>
        <w:t>重庆四方新材股份有限公司姜家镇白云山村</w:t>
      </w:r>
    </w:p>
    <w:p w:rsidR="005A6885" w:rsidRDefault="005A6885" w:rsidP="002211E3">
      <w:pPr>
        <w:jc w:val="center"/>
        <w:rPr>
          <w:rFonts w:ascii="方正小标宋_GBK" w:eastAsia="方正小标宋_GBK"/>
          <w:bCs/>
          <w:sz w:val="44"/>
          <w:szCs w:val="44"/>
        </w:rPr>
      </w:pPr>
      <w:r w:rsidRPr="005A6885">
        <w:rPr>
          <w:rFonts w:ascii="方正小标宋_GBK" w:eastAsia="方正小标宋_GBK" w:hint="eastAsia"/>
          <w:bCs/>
          <w:sz w:val="44"/>
          <w:szCs w:val="44"/>
        </w:rPr>
        <w:t>宋扁石灰岩矿（二期）</w:t>
      </w:r>
      <w:r w:rsidR="002211E3" w:rsidRPr="002211E3">
        <w:rPr>
          <w:rFonts w:ascii="方正小标宋_GBK" w:eastAsia="方正小标宋_GBK"/>
          <w:bCs/>
          <w:sz w:val="44"/>
          <w:szCs w:val="44"/>
        </w:rPr>
        <w:t>水土保持方案报告书</w:t>
      </w:r>
    </w:p>
    <w:p w:rsidR="002211E3" w:rsidRDefault="002211E3" w:rsidP="002211E3">
      <w:pPr>
        <w:jc w:val="center"/>
        <w:rPr>
          <w:rFonts w:ascii="方正小标宋_GBK" w:eastAsia="方正小标宋_GBK"/>
          <w:bCs/>
          <w:sz w:val="44"/>
          <w:szCs w:val="44"/>
        </w:rPr>
      </w:pPr>
      <w:r w:rsidRPr="002211E3">
        <w:rPr>
          <w:rFonts w:ascii="方正小标宋_GBK" w:eastAsia="方正小标宋_GBK"/>
          <w:bCs/>
          <w:sz w:val="44"/>
          <w:szCs w:val="44"/>
        </w:rPr>
        <w:t>专家评审意见</w:t>
      </w:r>
    </w:p>
    <w:p w:rsidR="002211E3" w:rsidRPr="002211E3" w:rsidRDefault="002211E3" w:rsidP="002211E3">
      <w:pPr>
        <w:pStyle w:val="a1"/>
      </w:pPr>
    </w:p>
    <w:p w:rsidR="005B3914" w:rsidRDefault="005B3914" w:rsidP="005A6885">
      <w:pPr>
        <w:spacing w:line="560" w:lineRule="exact"/>
        <w:ind w:firstLineChars="250" w:firstLine="750"/>
        <w:rPr>
          <w:szCs w:val="28"/>
        </w:rPr>
      </w:pPr>
      <w:r>
        <w:rPr>
          <w:szCs w:val="28"/>
        </w:rPr>
        <w:t>20</w:t>
      </w:r>
      <w:r>
        <w:rPr>
          <w:rFonts w:hint="eastAsia"/>
          <w:szCs w:val="28"/>
        </w:rPr>
        <w:t>23</w:t>
      </w:r>
      <w:r>
        <w:rPr>
          <w:szCs w:val="28"/>
        </w:rPr>
        <w:t>年</w:t>
      </w:r>
      <w:r>
        <w:rPr>
          <w:rFonts w:hint="eastAsia"/>
          <w:szCs w:val="28"/>
        </w:rPr>
        <w:t>6</w:t>
      </w:r>
      <w:r>
        <w:rPr>
          <w:szCs w:val="28"/>
        </w:rPr>
        <w:t>月</w:t>
      </w:r>
      <w:r>
        <w:rPr>
          <w:rFonts w:hint="eastAsia"/>
          <w:szCs w:val="28"/>
        </w:rPr>
        <w:t>12</w:t>
      </w:r>
      <w:r>
        <w:rPr>
          <w:rFonts w:hint="eastAsia"/>
          <w:szCs w:val="28"/>
        </w:rPr>
        <w:t>日</w:t>
      </w:r>
      <w:r>
        <w:rPr>
          <w:szCs w:val="28"/>
        </w:rPr>
        <w:t>，重庆市</w:t>
      </w:r>
      <w:r>
        <w:rPr>
          <w:rFonts w:hint="eastAsia"/>
          <w:szCs w:val="28"/>
        </w:rPr>
        <w:t>巴南区水利局</w:t>
      </w:r>
      <w:r>
        <w:rPr>
          <w:szCs w:val="28"/>
        </w:rPr>
        <w:t>组织专家对《</w:t>
      </w:r>
      <w:r>
        <w:rPr>
          <w:rFonts w:hint="eastAsia"/>
          <w:szCs w:val="28"/>
        </w:rPr>
        <w:t>重庆四方新材股份有限公司姜家镇白云山村宋扁石灰岩矿（二期）</w:t>
      </w:r>
      <w:r>
        <w:rPr>
          <w:szCs w:val="28"/>
        </w:rPr>
        <w:t>水土保持方案报告书（送审稿）》（以下简称《水保方案（送审稿）》）进行</w:t>
      </w:r>
      <w:r>
        <w:rPr>
          <w:rFonts w:hint="eastAsia"/>
          <w:szCs w:val="28"/>
        </w:rPr>
        <w:t>技术</w:t>
      </w:r>
      <w:r>
        <w:rPr>
          <w:szCs w:val="28"/>
        </w:rPr>
        <w:t>审查，成立了由</w:t>
      </w:r>
      <w:r>
        <w:rPr>
          <w:rFonts w:hint="eastAsia"/>
          <w:szCs w:val="28"/>
        </w:rPr>
        <w:t>刘德忠</w:t>
      </w:r>
      <w:r>
        <w:rPr>
          <w:szCs w:val="28"/>
        </w:rPr>
        <w:t>任组长，</w:t>
      </w:r>
      <w:r>
        <w:rPr>
          <w:rFonts w:hint="eastAsia"/>
          <w:szCs w:val="28"/>
        </w:rPr>
        <w:t>唐继斗</w:t>
      </w:r>
      <w:r>
        <w:rPr>
          <w:szCs w:val="28"/>
        </w:rPr>
        <w:t>和</w:t>
      </w:r>
      <w:r>
        <w:rPr>
          <w:rFonts w:hint="eastAsia"/>
          <w:szCs w:val="28"/>
        </w:rPr>
        <w:t>吴昊</w:t>
      </w:r>
      <w:r>
        <w:rPr>
          <w:szCs w:val="28"/>
        </w:rPr>
        <w:t>为成员的专家组。专家组成员详细审阅了《水保方案（送审稿）》，</w:t>
      </w:r>
      <w:r>
        <w:rPr>
          <w:rFonts w:hint="eastAsia"/>
          <w:color w:val="333333"/>
          <w:shd w:val="clear" w:color="auto" w:fill="FFFFFF"/>
        </w:rPr>
        <w:t>进行了质量评分，质量评定等级合格。</w:t>
      </w:r>
      <w:r>
        <w:rPr>
          <w:szCs w:val="28"/>
        </w:rPr>
        <w:t>报告编制单位根据专家组提出的修改意见对《水保方案（送审稿）》进行了修改、补充和完善，形成了《</w:t>
      </w:r>
      <w:r>
        <w:rPr>
          <w:rFonts w:hint="eastAsia"/>
          <w:szCs w:val="28"/>
        </w:rPr>
        <w:t>重庆四方新材股份有限公司姜家镇白云山村宋扁石灰岩矿（二期）</w:t>
      </w:r>
      <w:r>
        <w:rPr>
          <w:szCs w:val="28"/>
        </w:rPr>
        <w:t>水土保持方案报告书（报批稿）》。经专家组复核，形成专家评审意见如下：</w:t>
      </w:r>
    </w:p>
    <w:p w:rsidR="005B3914" w:rsidRPr="005B3914" w:rsidRDefault="005B3914" w:rsidP="005A6885">
      <w:pPr>
        <w:spacing w:line="560" w:lineRule="exact"/>
        <w:ind w:firstLineChars="200" w:firstLine="600"/>
        <w:outlineLvl w:val="0"/>
        <w:rPr>
          <w:rFonts w:ascii="方正黑体_GBK" w:eastAsia="方正黑体_GBK" w:hAnsi="方正黑体_GBK" w:cs="方正黑体_GBK"/>
          <w:bCs/>
          <w:szCs w:val="30"/>
        </w:rPr>
      </w:pPr>
      <w:r w:rsidRPr="005B3914">
        <w:rPr>
          <w:rFonts w:ascii="方正黑体_GBK" w:eastAsia="方正黑体_GBK" w:hAnsi="方正黑体_GBK" w:cs="方正黑体_GBK"/>
          <w:bCs/>
          <w:szCs w:val="30"/>
        </w:rPr>
        <w:t>一、综合说明</w:t>
      </w:r>
    </w:p>
    <w:p w:rsidR="005B3914" w:rsidRDefault="005B3914" w:rsidP="005A6885">
      <w:pPr>
        <w:spacing w:line="560" w:lineRule="exact"/>
        <w:ind w:firstLineChars="200" w:firstLine="600"/>
        <w:rPr>
          <w:szCs w:val="28"/>
        </w:rPr>
      </w:pPr>
      <w:r>
        <w:rPr>
          <w:szCs w:val="28"/>
        </w:rPr>
        <w:t>（一）编制所依据的法律法规、技术标准和技术资料基本正确。</w:t>
      </w:r>
    </w:p>
    <w:p w:rsidR="005B3914" w:rsidRDefault="005B3914" w:rsidP="005A6885">
      <w:pPr>
        <w:spacing w:line="560" w:lineRule="exact"/>
        <w:ind w:firstLineChars="200" w:firstLine="600"/>
        <w:rPr>
          <w:szCs w:val="28"/>
        </w:rPr>
      </w:pPr>
      <w:r>
        <w:rPr>
          <w:szCs w:val="28"/>
        </w:rPr>
        <w:t>（二）同意设计水平年为</w:t>
      </w:r>
      <w:r>
        <w:rPr>
          <w:szCs w:val="28"/>
        </w:rPr>
        <w:t>202</w:t>
      </w:r>
      <w:r>
        <w:rPr>
          <w:rFonts w:hint="eastAsia"/>
          <w:szCs w:val="28"/>
        </w:rPr>
        <w:t>3</w:t>
      </w:r>
      <w:r>
        <w:rPr>
          <w:szCs w:val="28"/>
        </w:rPr>
        <w:t>年。</w:t>
      </w:r>
    </w:p>
    <w:p w:rsidR="005B3914" w:rsidRDefault="005B3914" w:rsidP="005A6885">
      <w:pPr>
        <w:spacing w:line="560" w:lineRule="exact"/>
        <w:ind w:firstLineChars="200" w:firstLine="600"/>
        <w:rPr>
          <w:szCs w:val="28"/>
        </w:rPr>
      </w:pPr>
      <w:r>
        <w:rPr>
          <w:szCs w:val="28"/>
        </w:rPr>
        <w:t>（三）同意水土流失防治标准执行等级为西南紫色土区建设类</w:t>
      </w:r>
      <w:r>
        <w:rPr>
          <w:rFonts w:hint="eastAsia"/>
          <w:szCs w:val="28"/>
        </w:rPr>
        <w:t>二</w:t>
      </w:r>
      <w:r>
        <w:rPr>
          <w:szCs w:val="28"/>
        </w:rPr>
        <w:t>级标准，防治目标值确定基本合理，水土流失防治责任范围为</w:t>
      </w:r>
      <w:r>
        <w:rPr>
          <w:rFonts w:hint="eastAsia"/>
          <w:szCs w:val="28"/>
        </w:rPr>
        <w:t>48.05</w:t>
      </w:r>
      <w:r>
        <w:rPr>
          <w:szCs w:val="28"/>
        </w:rPr>
        <w:t>hm</w:t>
      </w:r>
      <w:r>
        <w:rPr>
          <w:szCs w:val="28"/>
          <w:vertAlign w:val="superscript"/>
        </w:rPr>
        <w:t>2</w:t>
      </w:r>
      <w:r>
        <w:rPr>
          <w:szCs w:val="28"/>
        </w:rPr>
        <w:t>。</w:t>
      </w:r>
    </w:p>
    <w:p w:rsidR="000E2A04" w:rsidRPr="002211E3" w:rsidRDefault="000E2A04" w:rsidP="005A6885">
      <w:pPr>
        <w:adjustRightInd w:val="0"/>
        <w:snapToGrid w:val="0"/>
        <w:spacing w:line="560" w:lineRule="exact"/>
        <w:ind w:firstLineChars="200" w:firstLine="600"/>
        <w:outlineLvl w:val="0"/>
        <w:rPr>
          <w:rFonts w:ascii="方正仿宋_GBK" w:eastAsia="方正仿宋_GBK" w:hAnsi="方正仿宋_GBK" w:cs="方正仿宋_GBK"/>
          <w:bCs/>
          <w:szCs w:val="30"/>
        </w:rPr>
      </w:pPr>
      <w:r w:rsidRPr="002211E3">
        <w:rPr>
          <w:rFonts w:ascii="方正黑体_GBK" w:eastAsia="方正黑体_GBK" w:hAnsi="方正黑体_GBK" w:cs="方正黑体_GBK" w:hint="eastAsia"/>
          <w:bCs/>
          <w:szCs w:val="30"/>
        </w:rPr>
        <w:t>二、项目概况</w:t>
      </w:r>
    </w:p>
    <w:p w:rsidR="002211E3" w:rsidRPr="002211E3" w:rsidRDefault="002211E3" w:rsidP="005A6885">
      <w:pPr>
        <w:spacing w:line="560" w:lineRule="exact"/>
        <w:ind w:firstLine="640"/>
        <w:rPr>
          <w:rFonts w:ascii="方正仿宋_GBK" w:eastAsia="方正仿宋_GBK" w:hAnsi="方正仿宋_GBK" w:cs="方正仿宋_GBK"/>
          <w:szCs w:val="30"/>
        </w:rPr>
      </w:pPr>
      <w:r w:rsidRPr="002211E3">
        <w:rPr>
          <w:rFonts w:ascii="方正仿宋_GBK" w:eastAsia="方正仿宋_GBK" w:hAnsi="方正仿宋_GBK" w:cs="方正仿宋_GBK" w:hint="eastAsia"/>
          <w:szCs w:val="30"/>
        </w:rPr>
        <w:t>（一）项目概况阐述基本清楚。</w:t>
      </w:r>
    </w:p>
    <w:p w:rsidR="002211E3" w:rsidRPr="005B3914" w:rsidRDefault="002211E3" w:rsidP="005A6885">
      <w:pPr>
        <w:spacing w:line="560" w:lineRule="exact"/>
        <w:ind w:firstLine="640"/>
        <w:rPr>
          <w:szCs w:val="28"/>
        </w:rPr>
      </w:pPr>
      <w:bookmarkStart w:id="0" w:name="OLE_LINK51"/>
      <w:r w:rsidRPr="005B3914">
        <w:rPr>
          <w:rFonts w:hint="eastAsia"/>
          <w:szCs w:val="28"/>
        </w:rPr>
        <w:t>项目</w:t>
      </w:r>
      <w:r w:rsidR="005B3914" w:rsidRPr="005B3914">
        <w:rPr>
          <w:szCs w:val="28"/>
        </w:rPr>
        <w:t>位于重庆市巴南区姜家镇白云山村、纹石村。二期工程占地</w:t>
      </w:r>
      <w:r w:rsidR="005B3914" w:rsidRPr="005B3914">
        <w:rPr>
          <w:szCs w:val="28"/>
        </w:rPr>
        <w:t>48.05hm</w:t>
      </w:r>
      <w:r w:rsidR="005B3914" w:rsidRPr="001D7554">
        <w:rPr>
          <w:szCs w:val="28"/>
          <w:vertAlign w:val="superscript"/>
        </w:rPr>
        <w:t>2</w:t>
      </w:r>
      <w:r w:rsidR="005B3914" w:rsidRPr="005B3914">
        <w:rPr>
          <w:szCs w:val="28"/>
        </w:rPr>
        <w:t>，其中矿区面积为</w:t>
      </w:r>
      <w:r w:rsidR="005B3914" w:rsidRPr="005B3914">
        <w:rPr>
          <w:szCs w:val="28"/>
        </w:rPr>
        <w:t>45.99hm</w:t>
      </w:r>
      <w:r w:rsidR="005B3914" w:rsidRPr="001D7554">
        <w:rPr>
          <w:szCs w:val="28"/>
          <w:vertAlign w:val="superscript"/>
        </w:rPr>
        <w:t>2</w:t>
      </w:r>
      <w:r w:rsidR="005B3914" w:rsidRPr="005B3914">
        <w:rPr>
          <w:szCs w:val="28"/>
        </w:rPr>
        <w:t>，矿区外临时占地</w:t>
      </w:r>
      <w:r w:rsidR="005B3914" w:rsidRPr="005B3914">
        <w:rPr>
          <w:szCs w:val="28"/>
        </w:rPr>
        <w:t>2.06hm</w:t>
      </w:r>
      <w:r w:rsidR="005B3914" w:rsidRPr="001D7554">
        <w:rPr>
          <w:szCs w:val="28"/>
          <w:vertAlign w:val="superscript"/>
        </w:rPr>
        <w:t>2</w:t>
      </w:r>
      <w:r w:rsidR="005B3914" w:rsidRPr="005B3914">
        <w:rPr>
          <w:szCs w:val="28"/>
        </w:rPr>
        <w:t>。二期工程沿用一期工程生产设施（工业广场二车间，矿区道路等），截止</w:t>
      </w:r>
      <w:r w:rsidR="005B3914" w:rsidRPr="005B3914">
        <w:rPr>
          <w:szCs w:val="28"/>
        </w:rPr>
        <w:lastRenderedPageBreak/>
        <w:t>2023</w:t>
      </w:r>
      <w:r w:rsidR="005B3914" w:rsidRPr="005B3914">
        <w:rPr>
          <w:szCs w:val="28"/>
        </w:rPr>
        <w:t>年</w:t>
      </w:r>
      <w:r w:rsidR="005B3914" w:rsidRPr="005B3914">
        <w:rPr>
          <w:szCs w:val="28"/>
        </w:rPr>
        <w:t>5</w:t>
      </w:r>
      <w:r w:rsidR="005B3914" w:rsidRPr="005B3914">
        <w:rPr>
          <w:szCs w:val="28"/>
        </w:rPr>
        <w:t>月，矿山已开采量为</w:t>
      </w:r>
      <w:r w:rsidR="005B3914" w:rsidRPr="005B3914">
        <w:rPr>
          <w:szCs w:val="28"/>
        </w:rPr>
        <w:t>2315.6</w:t>
      </w:r>
      <w:r w:rsidR="005B3914" w:rsidRPr="005B3914">
        <w:rPr>
          <w:szCs w:val="28"/>
        </w:rPr>
        <w:t>万</w:t>
      </w:r>
      <w:r w:rsidR="005B3914" w:rsidRPr="005B3914">
        <w:rPr>
          <w:szCs w:val="28"/>
        </w:rPr>
        <w:t>t</w:t>
      </w:r>
      <w:r w:rsidR="005B3914" w:rsidRPr="005B3914">
        <w:rPr>
          <w:szCs w:val="28"/>
        </w:rPr>
        <w:t>，采矿废渣约</w:t>
      </w:r>
      <w:r w:rsidR="005B3914" w:rsidRPr="005B3914">
        <w:rPr>
          <w:szCs w:val="28"/>
        </w:rPr>
        <w:t>115.78</w:t>
      </w:r>
      <w:r w:rsidR="005B3914" w:rsidRPr="005B3914">
        <w:rPr>
          <w:szCs w:val="28"/>
        </w:rPr>
        <w:t>万吨，根据现场调查，集中堆放在四采区及三采区。剩余开采量为</w:t>
      </w:r>
      <w:r w:rsidR="005B3914" w:rsidRPr="005B3914">
        <w:rPr>
          <w:szCs w:val="28"/>
        </w:rPr>
        <w:t>535</w:t>
      </w:r>
      <w:r w:rsidR="005B3914" w:rsidRPr="005B3914">
        <w:rPr>
          <w:szCs w:val="28"/>
        </w:rPr>
        <w:t>万</w:t>
      </w:r>
      <w:r w:rsidR="005B3914" w:rsidRPr="005B3914">
        <w:rPr>
          <w:szCs w:val="28"/>
        </w:rPr>
        <w:t>t</w:t>
      </w:r>
      <w:r w:rsidR="005B3914" w:rsidRPr="005B3914">
        <w:rPr>
          <w:szCs w:val="28"/>
        </w:rPr>
        <w:t>，计划至</w:t>
      </w:r>
      <w:r w:rsidR="005B3914" w:rsidRPr="005B3914">
        <w:rPr>
          <w:szCs w:val="28"/>
        </w:rPr>
        <w:t>2025</w:t>
      </w:r>
      <w:r w:rsidR="005B3914" w:rsidRPr="005B3914">
        <w:rPr>
          <w:szCs w:val="28"/>
        </w:rPr>
        <w:t>年</w:t>
      </w:r>
      <w:r w:rsidR="005B3914" w:rsidRPr="005B3914">
        <w:rPr>
          <w:rFonts w:hint="eastAsia"/>
          <w:szCs w:val="28"/>
        </w:rPr>
        <w:t>5</w:t>
      </w:r>
      <w:r w:rsidR="005B3914" w:rsidRPr="005B3914">
        <w:rPr>
          <w:szCs w:val="28"/>
        </w:rPr>
        <w:t>月开采完毕，矿山生产规模设计为</w:t>
      </w:r>
      <w:r w:rsidR="005B3914" w:rsidRPr="005B3914">
        <w:rPr>
          <w:szCs w:val="28"/>
        </w:rPr>
        <w:t>196</w:t>
      </w:r>
      <w:r w:rsidR="005B3914" w:rsidRPr="005B3914">
        <w:rPr>
          <w:szCs w:val="28"/>
        </w:rPr>
        <w:t>万吨</w:t>
      </w:r>
      <w:r w:rsidR="005B3914" w:rsidRPr="005B3914">
        <w:rPr>
          <w:szCs w:val="28"/>
        </w:rPr>
        <w:t>/</w:t>
      </w:r>
      <w:r w:rsidR="005B3914" w:rsidRPr="005B3914">
        <w:rPr>
          <w:szCs w:val="28"/>
        </w:rPr>
        <w:t>年，项目土石方开挖总量为</w:t>
      </w:r>
      <w:r w:rsidR="005B3914" w:rsidRPr="005B3914">
        <w:rPr>
          <w:rFonts w:hint="eastAsia"/>
          <w:szCs w:val="28"/>
        </w:rPr>
        <w:t>71.09</w:t>
      </w:r>
      <w:r w:rsidR="005B3914" w:rsidRPr="005B3914">
        <w:rPr>
          <w:szCs w:val="28"/>
        </w:rPr>
        <w:t>万</w:t>
      </w:r>
      <w:r w:rsidR="005B3914" w:rsidRPr="005B3914">
        <w:rPr>
          <w:szCs w:val="28"/>
        </w:rPr>
        <w:t>m</w:t>
      </w:r>
      <w:r w:rsidR="005B3914" w:rsidRPr="001D7554">
        <w:rPr>
          <w:szCs w:val="28"/>
          <w:vertAlign w:val="superscript"/>
        </w:rPr>
        <w:t>3</w:t>
      </w:r>
      <w:r w:rsidR="005B3914" w:rsidRPr="005B3914">
        <w:rPr>
          <w:szCs w:val="28"/>
        </w:rPr>
        <w:t>，回填量</w:t>
      </w:r>
      <w:r w:rsidR="005B3914" w:rsidRPr="005B3914">
        <w:rPr>
          <w:rFonts w:hint="eastAsia"/>
          <w:szCs w:val="28"/>
        </w:rPr>
        <w:t>90.03</w:t>
      </w:r>
      <w:r w:rsidR="005B3914" w:rsidRPr="005B3914">
        <w:rPr>
          <w:szCs w:val="28"/>
        </w:rPr>
        <w:t>万</w:t>
      </w:r>
      <w:r w:rsidR="005B3914" w:rsidRPr="005B3914">
        <w:rPr>
          <w:szCs w:val="28"/>
        </w:rPr>
        <w:t>m</w:t>
      </w:r>
      <w:r w:rsidR="005B3914" w:rsidRPr="001D7554">
        <w:rPr>
          <w:szCs w:val="28"/>
          <w:vertAlign w:val="superscript"/>
        </w:rPr>
        <w:t>3</w:t>
      </w:r>
      <w:r w:rsidR="005B3914" w:rsidRPr="005B3914">
        <w:rPr>
          <w:szCs w:val="28"/>
        </w:rPr>
        <w:t>，借方</w:t>
      </w:r>
      <w:r w:rsidR="005B3914" w:rsidRPr="005B3914">
        <w:rPr>
          <w:rFonts w:hint="eastAsia"/>
          <w:szCs w:val="28"/>
        </w:rPr>
        <w:t>18.94</w:t>
      </w:r>
      <w:r w:rsidR="005B3914" w:rsidRPr="005B3914">
        <w:rPr>
          <w:szCs w:val="28"/>
        </w:rPr>
        <w:t>万</w:t>
      </w:r>
      <w:r w:rsidR="005B3914" w:rsidRPr="005B3914">
        <w:rPr>
          <w:szCs w:val="28"/>
        </w:rPr>
        <w:t>m</w:t>
      </w:r>
      <w:r w:rsidR="005B3914" w:rsidRPr="001D7554">
        <w:rPr>
          <w:szCs w:val="28"/>
          <w:vertAlign w:val="superscript"/>
        </w:rPr>
        <w:t>3</w:t>
      </w:r>
      <w:r w:rsidR="005B3914" w:rsidRPr="005B3914">
        <w:rPr>
          <w:szCs w:val="28"/>
        </w:rPr>
        <w:t>，</w:t>
      </w:r>
      <w:r w:rsidR="005B3914" w:rsidRPr="005B3914">
        <w:rPr>
          <w:rFonts w:hint="eastAsia"/>
          <w:szCs w:val="28"/>
        </w:rPr>
        <w:t>借方来自于一期。二期开采时间为</w:t>
      </w:r>
      <w:r w:rsidR="005B3914" w:rsidRPr="005B3914">
        <w:rPr>
          <w:rFonts w:hint="eastAsia"/>
          <w:szCs w:val="28"/>
        </w:rPr>
        <w:t>2020</w:t>
      </w:r>
      <w:r w:rsidR="005B3914" w:rsidRPr="005B3914">
        <w:rPr>
          <w:rFonts w:hint="eastAsia"/>
          <w:szCs w:val="28"/>
        </w:rPr>
        <w:t>年</w:t>
      </w:r>
      <w:r w:rsidR="005B3914" w:rsidRPr="005B3914">
        <w:rPr>
          <w:rFonts w:hint="eastAsia"/>
          <w:szCs w:val="28"/>
        </w:rPr>
        <w:t>6</w:t>
      </w:r>
      <w:r w:rsidR="005B3914" w:rsidRPr="005B3914">
        <w:rPr>
          <w:rFonts w:hint="eastAsia"/>
          <w:szCs w:val="28"/>
        </w:rPr>
        <w:t>月至</w:t>
      </w:r>
      <w:r w:rsidR="005B3914" w:rsidRPr="005B3914">
        <w:rPr>
          <w:rFonts w:hint="eastAsia"/>
          <w:szCs w:val="28"/>
        </w:rPr>
        <w:t>2025</w:t>
      </w:r>
      <w:r w:rsidR="005B3914" w:rsidRPr="005B3914">
        <w:rPr>
          <w:rFonts w:hint="eastAsia"/>
          <w:szCs w:val="28"/>
        </w:rPr>
        <w:t>年</w:t>
      </w:r>
      <w:r w:rsidR="005B3914" w:rsidRPr="005B3914">
        <w:rPr>
          <w:rFonts w:hint="eastAsia"/>
          <w:szCs w:val="28"/>
        </w:rPr>
        <w:t>5</w:t>
      </w:r>
      <w:r w:rsidR="005B3914" w:rsidRPr="005B3914">
        <w:rPr>
          <w:rFonts w:hint="eastAsia"/>
          <w:szCs w:val="28"/>
        </w:rPr>
        <w:t>月，闭坑期为</w:t>
      </w:r>
      <w:r w:rsidR="005B3914" w:rsidRPr="005B3914">
        <w:rPr>
          <w:rFonts w:hint="eastAsia"/>
          <w:szCs w:val="28"/>
        </w:rPr>
        <w:t>2025</w:t>
      </w:r>
      <w:r w:rsidR="005B3914" w:rsidRPr="005B3914">
        <w:rPr>
          <w:rFonts w:hint="eastAsia"/>
          <w:szCs w:val="28"/>
        </w:rPr>
        <w:t>年</w:t>
      </w:r>
      <w:r w:rsidR="005B3914" w:rsidRPr="005B3914">
        <w:rPr>
          <w:rFonts w:hint="eastAsia"/>
          <w:szCs w:val="28"/>
        </w:rPr>
        <w:t>5</w:t>
      </w:r>
      <w:r w:rsidR="005B3914" w:rsidRPr="005B3914">
        <w:rPr>
          <w:rFonts w:hint="eastAsia"/>
          <w:szCs w:val="28"/>
        </w:rPr>
        <w:t>月至</w:t>
      </w:r>
      <w:r w:rsidR="005B3914" w:rsidRPr="005B3914">
        <w:rPr>
          <w:rFonts w:hint="eastAsia"/>
          <w:szCs w:val="28"/>
        </w:rPr>
        <w:t>2025</w:t>
      </w:r>
      <w:r w:rsidR="005B3914" w:rsidRPr="005B3914">
        <w:rPr>
          <w:rFonts w:hint="eastAsia"/>
          <w:szCs w:val="28"/>
        </w:rPr>
        <w:t>年</w:t>
      </w:r>
      <w:r w:rsidR="005B3914" w:rsidRPr="005B3914">
        <w:rPr>
          <w:rFonts w:hint="eastAsia"/>
          <w:szCs w:val="28"/>
        </w:rPr>
        <w:t>9</w:t>
      </w:r>
      <w:r w:rsidR="005B3914" w:rsidRPr="005B3914">
        <w:rPr>
          <w:rFonts w:hint="eastAsia"/>
          <w:szCs w:val="28"/>
        </w:rPr>
        <w:t>月</w:t>
      </w:r>
      <w:r w:rsidR="005B3914" w:rsidRPr="005B3914">
        <w:rPr>
          <w:szCs w:val="28"/>
        </w:rPr>
        <w:t>。</w:t>
      </w:r>
      <w:r w:rsidR="005B3914" w:rsidRPr="005B3914">
        <w:rPr>
          <w:rFonts w:hint="eastAsia"/>
          <w:szCs w:val="28"/>
        </w:rPr>
        <w:t>项目</w:t>
      </w:r>
      <w:r w:rsidR="005B3914" w:rsidRPr="005B3914">
        <w:rPr>
          <w:szCs w:val="28"/>
        </w:rPr>
        <w:t>总投资</w:t>
      </w:r>
      <w:r w:rsidR="005B3914" w:rsidRPr="005B3914">
        <w:rPr>
          <w:szCs w:val="28"/>
        </w:rPr>
        <w:t>9800</w:t>
      </w:r>
      <w:r w:rsidR="005B3914" w:rsidRPr="005B3914">
        <w:rPr>
          <w:szCs w:val="28"/>
        </w:rPr>
        <w:t>万元，其中土建投资</w:t>
      </w:r>
      <w:r w:rsidR="005B3914" w:rsidRPr="005B3914">
        <w:rPr>
          <w:szCs w:val="28"/>
        </w:rPr>
        <w:t>2035.71</w:t>
      </w:r>
      <w:r w:rsidR="005B3914" w:rsidRPr="005B3914">
        <w:rPr>
          <w:szCs w:val="28"/>
        </w:rPr>
        <w:t>万元，资金来源为</w:t>
      </w:r>
      <w:r w:rsidR="005B3914" w:rsidRPr="005B3914">
        <w:rPr>
          <w:rFonts w:hint="eastAsia"/>
          <w:szCs w:val="28"/>
        </w:rPr>
        <w:t>业主自筹</w:t>
      </w:r>
      <w:r w:rsidR="005B3914" w:rsidRPr="005B3914">
        <w:rPr>
          <w:szCs w:val="28"/>
        </w:rPr>
        <w:t>。项目不涉及</w:t>
      </w:r>
      <w:r w:rsidR="005B3914" w:rsidRPr="005B3914">
        <w:rPr>
          <w:rFonts w:hint="eastAsia"/>
          <w:szCs w:val="28"/>
        </w:rPr>
        <w:t>拆迁安置及</w:t>
      </w:r>
      <w:r w:rsidR="005B3914" w:rsidRPr="005B3914">
        <w:rPr>
          <w:szCs w:val="28"/>
        </w:rPr>
        <w:t>专项设施改（迁）建，建设单位为重庆四方新材股份有限公司。</w:t>
      </w:r>
    </w:p>
    <w:bookmarkEnd w:id="0"/>
    <w:p w:rsidR="002211E3" w:rsidRPr="005B3914" w:rsidRDefault="002211E3" w:rsidP="005A6885">
      <w:pPr>
        <w:numPr>
          <w:ilvl w:val="0"/>
          <w:numId w:val="2"/>
        </w:numPr>
        <w:spacing w:line="560" w:lineRule="exact"/>
        <w:ind w:firstLine="640"/>
        <w:rPr>
          <w:szCs w:val="28"/>
        </w:rPr>
      </w:pPr>
      <w:r w:rsidRPr="005B3914">
        <w:rPr>
          <w:rFonts w:hint="eastAsia"/>
          <w:szCs w:val="28"/>
        </w:rPr>
        <w:t>项目</w:t>
      </w:r>
      <w:r w:rsidR="005B3914" w:rsidRPr="005B3914">
        <w:rPr>
          <w:szCs w:val="28"/>
        </w:rPr>
        <w:t>区地形</w:t>
      </w:r>
      <w:r w:rsidR="005B3914" w:rsidRPr="005B3914">
        <w:rPr>
          <w:rFonts w:hint="eastAsia"/>
          <w:szCs w:val="28"/>
        </w:rPr>
        <w:t>、</w:t>
      </w:r>
      <w:r w:rsidR="005B3914" w:rsidRPr="005B3914">
        <w:rPr>
          <w:szCs w:val="28"/>
        </w:rPr>
        <w:t>地貌、地质、气象、水文、土壤及植被情况等阐述较为清楚</w:t>
      </w:r>
      <w:r w:rsidRPr="005B3914">
        <w:rPr>
          <w:rFonts w:hint="eastAsia"/>
          <w:szCs w:val="28"/>
        </w:rPr>
        <w:t>。</w:t>
      </w:r>
    </w:p>
    <w:p w:rsidR="000E2A04" w:rsidRPr="002211E3" w:rsidRDefault="000E2A04" w:rsidP="005A6885">
      <w:pPr>
        <w:adjustRightInd w:val="0"/>
        <w:snapToGrid w:val="0"/>
        <w:spacing w:line="56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三、项目水土保持评价</w:t>
      </w:r>
    </w:p>
    <w:p w:rsidR="002211E3" w:rsidRPr="002211E3" w:rsidRDefault="002211E3" w:rsidP="005A6885">
      <w:pPr>
        <w:adjustRightInd w:val="0"/>
        <w:snapToGrid w:val="0"/>
        <w:spacing w:line="560" w:lineRule="exact"/>
        <w:ind w:firstLineChars="200" w:firstLine="600"/>
        <w:rPr>
          <w:rFonts w:ascii="方正仿宋_GBK" w:eastAsia="方正仿宋_GBK" w:hAnsi="方正仿宋_GBK" w:cs="方正仿宋_GBK"/>
          <w:szCs w:val="30"/>
        </w:rPr>
      </w:pPr>
      <w:r w:rsidRPr="002211E3">
        <w:rPr>
          <w:rFonts w:ascii="方正仿宋_GBK" w:eastAsia="方正仿宋_GBK" w:hAnsi="方正仿宋_GBK" w:cs="方正仿宋_GBK" w:hint="eastAsia"/>
          <w:szCs w:val="30"/>
        </w:rPr>
        <w:t>（一）基本同意主体工程选址水土保持评价。</w:t>
      </w:r>
    </w:p>
    <w:p w:rsidR="002211E3" w:rsidRPr="002211E3" w:rsidRDefault="002211E3" w:rsidP="005A6885">
      <w:pPr>
        <w:adjustRightInd w:val="0"/>
        <w:snapToGrid w:val="0"/>
        <w:spacing w:line="560" w:lineRule="exact"/>
        <w:ind w:firstLineChars="200" w:firstLine="600"/>
        <w:rPr>
          <w:rFonts w:ascii="方正仿宋_GBK" w:eastAsia="方正仿宋_GBK" w:hAnsi="方正仿宋_GBK" w:cs="方正仿宋_GBK"/>
          <w:szCs w:val="30"/>
        </w:rPr>
      </w:pPr>
      <w:r w:rsidRPr="002211E3">
        <w:rPr>
          <w:rFonts w:ascii="方正仿宋_GBK" w:eastAsia="方正仿宋_GBK" w:hAnsi="方正仿宋_GBK" w:cs="方正仿宋_GBK" w:hint="eastAsia"/>
          <w:szCs w:val="30"/>
        </w:rPr>
        <w:t>（二）基本同意建设方案与布局水土保持评价。</w:t>
      </w:r>
    </w:p>
    <w:p w:rsidR="002211E3" w:rsidRPr="002211E3" w:rsidRDefault="002211E3" w:rsidP="005A6885">
      <w:pPr>
        <w:adjustRightInd w:val="0"/>
        <w:snapToGrid w:val="0"/>
        <w:spacing w:line="560" w:lineRule="exact"/>
        <w:ind w:firstLineChars="200" w:firstLine="600"/>
        <w:rPr>
          <w:rFonts w:ascii="方正仿宋_GBK" w:eastAsia="方正仿宋_GBK" w:hAnsi="方正仿宋_GBK" w:cs="方正仿宋_GBK"/>
          <w:szCs w:val="30"/>
        </w:rPr>
      </w:pPr>
      <w:r w:rsidRPr="002211E3">
        <w:rPr>
          <w:rFonts w:ascii="方正仿宋_GBK" w:eastAsia="方正仿宋_GBK" w:hAnsi="方正仿宋_GBK" w:cs="方正仿宋_GBK" w:hint="eastAsia"/>
          <w:szCs w:val="30"/>
        </w:rPr>
        <w:t>（三）对主体工程设计中水土保持措施的界定基本合理。</w:t>
      </w:r>
    </w:p>
    <w:p w:rsidR="000E2A04" w:rsidRPr="002211E3" w:rsidRDefault="000E2A04" w:rsidP="005A6885">
      <w:pPr>
        <w:adjustRightInd w:val="0"/>
        <w:snapToGrid w:val="0"/>
        <w:spacing w:line="56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四、水土流失</w:t>
      </w:r>
      <w:r w:rsidR="005A6885" w:rsidRPr="005A6885">
        <w:rPr>
          <w:rFonts w:ascii="方正黑体_GBK" w:eastAsia="方正黑体_GBK" w:hAnsi="方正黑体_GBK" w:cs="方正黑体_GBK"/>
          <w:bCs/>
          <w:szCs w:val="30"/>
        </w:rPr>
        <w:t>失量调查及预测</w:t>
      </w:r>
    </w:p>
    <w:p w:rsidR="005A6885" w:rsidRDefault="002211E3" w:rsidP="005A6885">
      <w:pPr>
        <w:spacing w:line="560" w:lineRule="exact"/>
        <w:ind w:firstLine="640"/>
        <w:rPr>
          <w:szCs w:val="28"/>
        </w:rPr>
      </w:pPr>
      <w:r w:rsidRPr="002211E3">
        <w:rPr>
          <w:rFonts w:ascii="方正仿宋_GBK" w:eastAsia="方正仿宋_GBK" w:hAnsi="宋体" w:cs="宋体" w:hint="eastAsia"/>
        </w:rPr>
        <w:t>（一）</w:t>
      </w:r>
      <w:r w:rsidR="005A6885">
        <w:rPr>
          <w:szCs w:val="28"/>
        </w:rPr>
        <w:t>水土流失影响因素分析基本正确</w:t>
      </w:r>
      <w:r w:rsidR="005A6885">
        <w:rPr>
          <w:rFonts w:hint="eastAsia"/>
          <w:szCs w:val="28"/>
        </w:rPr>
        <w:t>。</w:t>
      </w:r>
    </w:p>
    <w:p w:rsidR="002211E3" w:rsidRDefault="002211E3" w:rsidP="005A6885">
      <w:pPr>
        <w:spacing w:line="560" w:lineRule="exact"/>
        <w:ind w:firstLine="640"/>
        <w:rPr>
          <w:szCs w:val="28"/>
        </w:rPr>
      </w:pPr>
      <w:r w:rsidRPr="002211E3">
        <w:rPr>
          <w:rFonts w:ascii="方正仿宋_GBK" w:eastAsia="方正仿宋_GBK" w:hAnsi="宋体" w:cs="宋体" w:hint="eastAsia"/>
          <w:szCs w:val="32"/>
        </w:rPr>
        <w:t>（二）</w:t>
      </w:r>
      <w:r w:rsidR="005A6885">
        <w:rPr>
          <w:szCs w:val="28"/>
        </w:rPr>
        <w:t>土壤流失量调查及预测基本合理。工程建设可能造成的土壤流失总量为</w:t>
      </w:r>
      <w:r w:rsidR="005A6885">
        <w:rPr>
          <w:rFonts w:hint="eastAsia"/>
          <w:szCs w:val="28"/>
        </w:rPr>
        <w:t>11369</w:t>
      </w:r>
      <w:r w:rsidR="005A6885">
        <w:rPr>
          <w:szCs w:val="28"/>
        </w:rPr>
        <w:t>t</w:t>
      </w:r>
      <w:r w:rsidR="005A6885">
        <w:rPr>
          <w:szCs w:val="28"/>
        </w:rPr>
        <w:t>，新增土壤流失量为</w:t>
      </w:r>
      <w:r w:rsidR="005A6885">
        <w:rPr>
          <w:rFonts w:hint="eastAsia"/>
          <w:szCs w:val="28"/>
        </w:rPr>
        <w:t>5203</w:t>
      </w:r>
      <w:r w:rsidR="005A6885">
        <w:rPr>
          <w:szCs w:val="28"/>
        </w:rPr>
        <w:t>t</w:t>
      </w:r>
      <w:r w:rsidR="001D7554">
        <w:rPr>
          <w:rFonts w:hint="eastAsia"/>
          <w:szCs w:val="28"/>
        </w:rPr>
        <w:t>。</w:t>
      </w:r>
    </w:p>
    <w:p w:rsidR="005A6885" w:rsidRDefault="005A6885" w:rsidP="005A6885">
      <w:pPr>
        <w:spacing w:line="560" w:lineRule="exact"/>
        <w:ind w:firstLine="640"/>
        <w:rPr>
          <w:szCs w:val="28"/>
        </w:rPr>
      </w:pPr>
      <w:r w:rsidRPr="002211E3">
        <w:rPr>
          <w:rFonts w:ascii="方正仿宋_GBK" w:eastAsia="方正仿宋_GBK" w:hAnsi="宋体" w:cs="宋体" w:hint="eastAsia"/>
          <w:szCs w:val="32"/>
        </w:rPr>
        <w:t>（</w:t>
      </w:r>
      <w:r>
        <w:rPr>
          <w:rFonts w:ascii="方正仿宋_GBK" w:eastAsia="方正仿宋_GBK" w:hAnsi="宋体" w:cs="宋体" w:hint="eastAsia"/>
          <w:szCs w:val="32"/>
        </w:rPr>
        <w:t>三</w:t>
      </w:r>
      <w:r w:rsidRPr="002211E3">
        <w:rPr>
          <w:rFonts w:ascii="方正仿宋_GBK" w:eastAsia="方正仿宋_GBK" w:hAnsi="宋体" w:cs="宋体" w:hint="eastAsia"/>
          <w:szCs w:val="32"/>
        </w:rPr>
        <w:t>）</w:t>
      </w:r>
      <w:r>
        <w:rPr>
          <w:szCs w:val="28"/>
        </w:rPr>
        <w:t>同意水土流失的危害性分析</w:t>
      </w:r>
      <w:r>
        <w:rPr>
          <w:rFonts w:hint="eastAsia"/>
          <w:szCs w:val="28"/>
        </w:rPr>
        <w:t>结论</w:t>
      </w:r>
      <w:r>
        <w:rPr>
          <w:szCs w:val="28"/>
        </w:rPr>
        <w:t>。</w:t>
      </w:r>
    </w:p>
    <w:p w:rsidR="000E2A04" w:rsidRPr="002211E3" w:rsidRDefault="000E2A04" w:rsidP="005A6885">
      <w:pPr>
        <w:adjustRightInd w:val="0"/>
        <w:snapToGrid w:val="0"/>
        <w:spacing w:line="56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五、水土保持措施</w:t>
      </w:r>
    </w:p>
    <w:p w:rsidR="005A6885" w:rsidRDefault="005A6885" w:rsidP="005A6885">
      <w:pPr>
        <w:adjustRightInd w:val="0"/>
        <w:snapToGrid w:val="0"/>
        <w:spacing w:line="560" w:lineRule="exact"/>
        <w:ind w:firstLineChars="200" w:firstLine="600"/>
        <w:rPr>
          <w:szCs w:val="28"/>
        </w:rPr>
      </w:pPr>
      <w:r>
        <w:rPr>
          <w:szCs w:val="28"/>
        </w:rPr>
        <w:t>（一）同意项目水土流失防治分区划分为</w:t>
      </w:r>
      <w:r>
        <w:rPr>
          <w:rFonts w:hint="eastAsia"/>
          <w:szCs w:val="28"/>
        </w:rPr>
        <w:t>2</w:t>
      </w:r>
      <w:r>
        <w:rPr>
          <w:rFonts w:hint="eastAsia"/>
          <w:szCs w:val="28"/>
        </w:rPr>
        <w:t>个水土流失防治区：露天开采防治区、工业广场防治区。</w:t>
      </w:r>
    </w:p>
    <w:p w:rsidR="005A6885" w:rsidRDefault="005A6885" w:rsidP="005A6885">
      <w:pPr>
        <w:spacing w:line="560" w:lineRule="exact"/>
        <w:ind w:firstLineChars="200" w:firstLine="600"/>
        <w:rPr>
          <w:szCs w:val="28"/>
        </w:rPr>
      </w:pPr>
      <w:bookmarkStart w:id="1" w:name="_Toc184357072"/>
      <w:bookmarkStart w:id="2" w:name="_Toc208023523"/>
      <w:bookmarkStart w:id="3" w:name="_Toc196628359"/>
      <w:bookmarkStart w:id="4" w:name="_Toc197147903"/>
      <w:bookmarkStart w:id="5" w:name="_Toc211063906"/>
      <w:bookmarkStart w:id="6" w:name="_Toc212968412"/>
      <w:bookmarkStart w:id="7" w:name="_Toc196628603"/>
      <w:r>
        <w:rPr>
          <w:szCs w:val="28"/>
        </w:rPr>
        <w:t>（二）由主体工程设计中具有水土保持功能的措施和本方案新增的水土保持措施所组成的</w:t>
      </w:r>
      <w:r>
        <w:rPr>
          <w:rFonts w:hint="eastAsia"/>
          <w:szCs w:val="28"/>
        </w:rPr>
        <w:t>水土保持</w:t>
      </w:r>
      <w:r>
        <w:rPr>
          <w:szCs w:val="28"/>
        </w:rPr>
        <w:t>措施体系基本合理。</w:t>
      </w:r>
    </w:p>
    <w:bookmarkEnd w:id="1"/>
    <w:bookmarkEnd w:id="2"/>
    <w:bookmarkEnd w:id="3"/>
    <w:bookmarkEnd w:id="4"/>
    <w:bookmarkEnd w:id="5"/>
    <w:bookmarkEnd w:id="6"/>
    <w:bookmarkEnd w:id="7"/>
    <w:p w:rsidR="005A6885" w:rsidRDefault="005A6885" w:rsidP="005A6885">
      <w:pPr>
        <w:spacing w:line="560" w:lineRule="exact"/>
        <w:ind w:firstLineChars="200" w:firstLine="600"/>
        <w:rPr>
          <w:szCs w:val="28"/>
        </w:rPr>
      </w:pPr>
      <w:r>
        <w:rPr>
          <w:rFonts w:hint="eastAsia"/>
          <w:szCs w:val="28"/>
        </w:rPr>
        <w:lastRenderedPageBreak/>
        <w:t>（</w:t>
      </w:r>
      <w:r>
        <w:rPr>
          <w:rFonts w:hint="eastAsia"/>
          <w:szCs w:val="28"/>
        </w:rPr>
        <w:t>1</w:t>
      </w:r>
      <w:r>
        <w:rPr>
          <w:rFonts w:hint="eastAsia"/>
          <w:szCs w:val="28"/>
        </w:rPr>
        <w:t>）露天开采防治区</w:t>
      </w:r>
    </w:p>
    <w:p w:rsidR="005A6885" w:rsidRDefault="005A6885" w:rsidP="005A6885">
      <w:pPr>
        <w:spacing w:line="560" w:lineRule="exact"/>
        <w:ind w:firstLineChars="200" w:firstLine="600"/>
        <w:rPr>
          <w:szCs w:val="28"/>
        </w:rPr>
      </w:pPr>
      <w:r>
        <w:rPr>
          <w:rFonts w:hint="eastAsia"/>
          <w:szCs w:val="28"/>
        </w:rPr>
        <w:t>开采前期：在矿区西侧及东侧边坡上部开挖截排水沟，配套修建沉沙池，主体工程未单独剥离表土，一、三采区开采至底盘</w:t>
      </w:r>
      <w:r>
        <w:rPr>
          <w:rFonts w:hint="eastAsia"/>
          <w:szCs w:val="28"/>
        </w:rPr>
        <w:t>+360m</w:t>
      </w:r>
      <w:r>
        <w:rPr>
          <w:rFonts w:hint="eastAsia"/>
          <w:szCs w:val="28"/>
        </w:rPr>
        <w:t>标高作为临时堆土区域。开采过程中：本方案针对现状可剥离表土区域进行剥离，集中堆放在四采区，四周采取编织土袋临时拦挡措施，主体对部分堆土区域表面进行了撒播草籽措施，后续开采过程中遇雨对坡面及临时堆土采用防雨布覆盖措施。开采末期：对露天开采区采坑、终了边坡平台进行全面治理、复绿、复垦，并配套修建排水沟及沉沙池。</w:t>
      </w:r>
    </w:p>
    <w:p w:rsidR="005A6885" w:rsidRDefault="005A6885" w:rsidP="005A6885">
      <w:pPr>
        <w:spacing w:line="560" w:lineRule="exact"/>
        <w:ind w:firstLineChars="200" w:firstLine="600"/>
        <w:rPr>
          <w:szCs w:val="28"/>
        </w:rPr>
      </w:pPr>
      <w:r>
        <w:rPr>
          <w:rFonts w:hint="eastAsia"/>
          <w:szCs w:val="28"/>
        </w:rPr>
        <w:t>（</w:t>
      </w:r>
      <w:r>
        <w:rPr>
          <w:rFonts w:hint="eastAsia"/>
          <w:szCs w:val="28"/>
        </w:rPr>
        <w:t>2</w:t>
      </w:r>
      <w:r>
        <w:rPr>
          <w:rFonts w:hint="eastAsia"/>
          <w:szCs w:val="28"/>
        </w:rPr>
        <w:t>）工业广场防治区</w:t>
      </w:r>
    </w:p>
    <w:p w:rsidR="005A6885" w:rsidRDefault="005A6885" w:rsidP="005A6885">
      <w:pPr>
        <w:spacing w:line="560" w:lineRule="exact"/>
        <w:ind w:firstLineChars="200" w:firstLine="600"/>
        <w:rPr>
          <w:szCs w:val="28"/>
        </w:rPr>
      </w:pPr>
      <w:r>
        <w:rPr>
          <w:rFonts w:hint="eastAsia"/>
          <w:szCs w:val="28"/>
        </w:rPr>
        <w:t>目前工业场地防治区已按一期工程设计实施了各项水土保持措施，运行良好。开采末期：拆除硬化层后，进行复垦、复绿，配套修建排水沟。</w:t>
      </w:r>
    </w:p>
    <w:p w:rsidR="000E2A04" w:rsidRPr="002211E3" w:rsidRDefault="000E2A04" w:rsidP="005A6885">
      <w:pPr>
        <w:adjustRightInd w:val="0"/>
        <w:snapToGrid w:val="0"/>
        <w:spacing w:line="56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六、水土保持监测</w:t>
      </w:r>
    </w:p>
    <w:p w:rsidR="005A6885" w:rsidRPr="005A6885" w:rsidRDefault="005A6885" w:rsidP="005A6885">
      <w:pPr>
        <w:spacing w:line="560" w:lineRule="exact"/>
        <w:ind w:firstLineChars="200" w:firstLine="600"/>
        <w:rPr>
          <w:szCs w:val="28"/>
        </w:rPr>
      </w:pPr>
      <w:r w:rsidRPr="005A6885">
        <w:rPr>
          <w:szCs w:val="28"/>
        </w:rPr>
        <w:t>水土保持监测方案基本可行，在开展监测工作时应进一步完善和优化。</w:t>
      </w:r>
    </w:p>
    <w:p w:rsidR="000E2A04" w:rsidRPr="002211E3" w:rsidRDefault="000E2A04" w:rsidP="005A6885">
      <w:pPr>
        <w:adjustRightInd w:val="0"/>
        <w:snapToGrid w:val="0"/>
        <w:spacing w:line="56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七、水土保持投资估算及效益分析</w:t>
      </w:r>
    </w:p>
    <w:p w:rsidR="005A6885" w:rsidRDefault="005A6885" w:rsidP="005A6885">
      <w:pPr>
        <w:spacing w:line="560" w:lineRule="exact"/>
        <w:ind w:firstLineChars="200" w:firstLine="600"/>
        <w:rPr>
          <w:szCs w:val="28"/>
        </w:rPr>
      </w:pPr>
      <w:r>
        <w:rPr>
          <w:szCs w:val="28"/>
        </w:rPr>
        <w:t>（一）投资估算编制依据正确，费用基本合理，编制深度满足要求。</w:t>
      </w:r>
    </w:p>
    <w:p w:rsidR="005A6885" w:rsidRDefault="005A6885" w:rsidP="005A6885">
      <w:pPr>
        <w:spacing w:line="560" w:lineRule="exact"/>
        <w:ind w:firstLineChars="200" w:firstLine="600"/>
        <w:rPr>
          <w:bCs/>
          <w:szCs w:val="28"/>
        </w:rPr>
      </w:pPr>
      <w:r>
        <w:rPr>
          <w:bCs/>
          <w:szCs w:val="28"/>
        </w:rPr>
        <w:t>（二）经审核，水土保持</w:t>
      </w:r>
      <w:r>
        <w:rPr>
          <w:rFonts w:hint="eastAsia"/>
          <w:bCs/>
          <w:szCs w:val="28"/>
        </w:rPr>
        <w:t>方案</w:t>
      </w:r>
      <w:r>
        <w:rPr>
          <w:bCs/>
          <w:szCs w:val="28"/>
        </w:rPr>
        <w:t>总投资为</w:t>
      </w:r>
      <w:r>
        <w:rPr>
          <w:bCs/>
          <w:szCs w:val="28"/>
        </w:rPr>
        <w:t>711.16</w:t>
      </w:r>
      <w:r>
        <w:rPr>
          <w:bCs/>
          <w:szCs w:val="28"/>
        </w:rPr>
        <w:t>万元，其中主体</w:t>
      </w:r>
      <w:r>
        <w:rPr>
          <w:rFonts w:hint="eastAsia"/>
          <w:bCs/>
          <w:szCs w:val="28"/>
        </w:rPr>
        <w:t>已列</w:t>
      </w:r>
      <w:r>
        <w:rPr>
          <w:bCs/>
          <w:szCs w:val="28"/>
        </w:rPr>
        <w:t>投资为</w:t>
      </w:r>
      <w:r>
        <w:rPr>
          <w:bCs/>
          <w:szCs w:val="28"/>
        </w:rPr>
        <w:t>587.32</w:t>
      </w:r>
      <w:r>
        <w:rPr>
          <w:bCs/>
          <w:szCs w:val="28"/>
        </w:rPr>
        <w:t>万元，方案新增投资为</w:t>
      </w:r>
      <w:r>
        <w:rPr>
          <w:bCs/>
          <w:szCs w:val="28"/>
        </w:rPr>
        <w:t>123.84</w:t>
      </w:r>
      <w:r>
        <w:rPr>
          <w:bCs/>
          <w:szCs w:val="28"/>
        </w:rPr>
        <w:t>万元。新增措施中，工程措施费用</w:t>
      </w:r>
      <w:r>
        <w:rPr>
          <w:bCs/>
          <w:szCs w:val="28"/>
        </w:rPr>
        <w:t>5.5</w:t>
      </w:r>
      <w:r>
        <w:rPr>
          <w:rFonts w:hint="eastAsia"/>
          <w:bCs/>
          <w:szCs w:val="28"/>
        </w:rPr>
        <w:t>9</w:t>
      </w:r>
      <w:r>
        <w:rPr>
          <w:bCs/>
          <w:szCs w:val="28"/>
        </w:rPr>
        <w:t>万元，监测措施费用</w:t>
      </w:r>
      <w:r>
        <w:rPr>
          <w:bCs/>
          <w:szCs w:val="28"/>
        </w:rPr>
        <w:t>14.35</w:t>
      </w:r>
      <w:r>
        <w:rPr>
          <w:bCs/>
          <w:szCs w:val="28"/>
        </w:rPr>
        <w:t>万元，施工临时措施费用</w:t>
      </w:r>
      <w:r>
        <w:rPr>
          <w:bCs/>
          <w:szCs w:val="28"/>
        </w:rPr>
        <w:t>41.81</w:t>
      </w:r>
      <w:r>
        <w:rPr>
          <w:bCs/>
          <w:szCs w:val="28"/>
        </w:rPr>
        <w:t>万元，独立费用</w:t>
      </w:r>
      <w:r>
        <w:rPr>
          <w:bCs/>
          <w:szCs w:val="28"/>
        </w:rPr>
        <w:t>22.54</w:t>
      </w:r>
      <w:r>
        <w:rPr>
          <w:bCs/>
          <w:szCs w:val="28"/>
        </w:rPr>
        <w:t>万元，基本预备费</w:t>
      </w:r>
      <w:r>
        <w:rPr>
          <w:bCs/>
          <w:szCs w:val="28"/>
        </w:rPr>
        <w:t>5.06</w:t>
      </w:r>
      <w:r>
        <w:rPr>
          <w:bCs/>
          <w:szCs w:val="28"/>
        </w:rPr>
        <w:t>万元，水土保持补偿费</w:t>
      </w:r>
      <w:r>
        <w:rPr>
          <w:bCs/>
          <w:szCs w:val="28"/>
        </w:rPr>
        <w:t>34.49306</w:t>
      </w:r>
      <w:r>
        <w:rPr>
          <w:bCs/>
          <w:szCs w:val="28"/>
        </w:rPr>
        <w:t>万元</w:t>
      </w:r>
      <w:r>
        <w:rPr>
          <w:rFonts w:hint="eastAsia"/>
          <w:bCs/>
          <w:szCs w:val="28"/>
        </w:rPr>
        <w:t>。</w:t>
      </w:r>
    </w:p>
    <w:p w:rsidR="005A6885" w:rsidRDefault="005A6885" w:rsidP="005A6885">
      <w:pPr>
        <w:spacing w:line="560" w:lineRule="exact"/>
        <w:ind w:firstLineChars="200" w:firstLine="600"/>
        <w:rPr>
          <w:szCs w:val="28"/>
        </w:rPr>
      </w:pPr>
      <w:r>
        <w:rPr>
          <w:szCs w:val="28"/>
        </w:rPr>
        <w:lastRenderedPageBreak/>
        <w:t>（三）效益分析方法正确，分析结果基本合理。</w:t>
      </w:r>
    </w:p>
    <w:p w:rsidR="002211E3" w:rsidRPr="002211E3" w:rsidRDefault="002211E3" w:rsidP="005A6885">
      <w:pPr>
        <w:spacing w:line="560" w:lineRule="exact"/>
        <w:ind w:firstLineChars="200" w:firstLine="600"/>
        <w:rPr>
          <w:rFonts w:ascii="方正黑体_GBK" w:eastAsia="方正黑体_GBK" w:hAnsi="宋体" w:cs="宋体"/>
          <w:bCs/>
        </w:rPr>
      </w:pPr>
      <w:r w:rsidRPr="002211E3">
        <w:rPr>
          <w:rFonts w:ascii="方正黑体_GBK" w:eastAsia="方正黑体_GBK" w:hAnsi="宋体" w:cs="宋体" w:hint="eastAsia"/>
          <w:bCs/>
        </w:rPr>
        <w:t>八、水土保持管理</w:t>
      </w:r>
    </w:p>
    <w:p w:rsidR="005A6885" w:rsidRDefault="005A6885" w:rsidP="005A6885">
      <w:pPr>
        <w:spacing w:line="560" w:lineRule="exact"/>
        <w:ind w:firstLineChars="200" w:firstLine="600"/>
        <w:rPr>
          <w:szCs w:val="28"/>
        </w:rPr>
      </w:pPr>
      <w:r>
        <w:rPr>
          <w:szCs w:val="28"/>
        </w:rPr>
        <w:t>本方案中提出的组织管理、后续设计、水土保持监测、水土保持监理、水土保持施工、水土保持设施验收等水土保持管理要求基本可行。</w:t>
      </w:r>
    </w:p>
    <w:p w:rsidR="00961EAE" w:rsidRDefault="00961EAE" w:rsidP="005A6885">
      <w:pPr>
        <w:spacing w:line="560" w:lineRule="exact"/>
        <w:ind w:firstLineChars="200" w:firstLine="640"/>
        <w:jc w:val="left"/>
        <w:rPr>
          <w:rFonts w:eastAsia="方正黑体_GBK"/>
          <w:bCs/>
          <w:color w:val="000000"/>
          <w:sz w:val="32"/>
          <w:szCs w:val="32"/>
        </w:rPr>
      </w:pPr>
      <w:r>
        <w:rPr>
          <w:rFonts w:eastAsia="方正黑体_GBK" w:hint="eastAsia"/>
          <w:bCs/>
          <w:color w:val="000000"/>
          <w:sz w:val="32"/>
          <w:szCs w:val="32"/>
        </w:rPr>
        <w:t>九、</w:t>
      </w:r>
      <w:r w:rsidR="002211E3">
        <w:rPr>
          <w:rFonts w:eastAsia="方正黑体_GBK" w:hint="eastAsia"/>
          <w:bCs/>
          <w:color w:val="000000"/>
          <w:sz w:val="32"/>
          <w:szCs w:val="32"/>
        </w:rPr>
        <w:t>其他</w:t>
      </w:r>
    </w:p>
    <w:p w:rsidR="005A6885" w:rsidRPr="005A6885" w:rsidRDefault="005A6885" w:rsidP="005A6885">
      <w:pPr>
        <w:spacing w:line="560" w:lineRule="exact"/>
        <w:ind w:firstLineChars="200" w:firstLine="600"/>
        <w:rPr>
          <w:szCs w:val="28"/>
        </w:rPr>
      </w:pPr>
      <w:r w:rsidRPr="005A6885">
        <w:rPr>
          <w:rFonts w:hint="eastAsia"/>
          <w:szCs w:val="28"/>
        </w:rPr>
        <w:t>本水土保持方案符合《生产建设项目水土保持技术标准》（</w:t>
      </w:r>
      <w:r w:rsidRPr="005A6885">
        <w:rPr>
          <w:rFonts w:hint="eastAsia"/>
          <w:szCs w:val="28"/>
        </w:rPr>
        <w:t>GB50433-2018</w:t>
      </w:r>
      <w:r w:rsidRPr="005A6885">
        <w:rPr>
          <w:rFonts w:hint="eastAsia"/>
          <w:szCs w:val="28"/>
        </w:rPr>
        <w:t>）的规定及相关要求，报告格式规范、内容完整，技术方案基本可行。同意该方案报告通过评审。</w:t>
      </w:r>
    </w:p>
    <w:p w:rsidR="00CC57F5" w:rsidRDefault="005A6885" w:rsidP="00A86327">
      <w:pPr>
        <w:spacing w:line="600" w:lineRule="exact"/>
        <w:ind w:firstLineChars="200" w:firstLine="640"/>
        <w:jc w:val="left"/>
        <w:rPr>
          <w:rFonts w:eastAsia="方正仿宋_GBK"/>
          <w:color w:val="000000"/>
          <w:sz w:val="32"/>
          <w:szCs w:val="32"/>
        </w:rPr>
      </w:pPr>
      <w:r>
        <w:rPr>
          <w:rFonts w:eastAsia="方正仿宋_GBK"/>
          <w:noProof/>
          <w:color w:val="000000"/>
          <w:sz w:val="32"/>
          <w:szCs w:val="32"/>
        </w:rPr>
        <w:drawing>
          <wp:anchor distT="0" distB="0" distL="114300" distR="114300" simplePos="0" relativeHeight="251659264" behindDoc="0" locked="0" layoutInCell="1" allowOverlap="1">
            <wp:simplePos x="0" y="0"/>
            <wp:positionH relativeFrom="column">
              <wp:posOffset>4824730</wp:posOffset>
            </wp:positionH>
            <wp:positionV relativeFrom="paragraph">
              <wp:posOffset>213995</wp:posOffset>
            </wp:positionV>
            <wp:extent cx="887095" cy="581025"/>
            <wp:effectExtent l="0" t="0" r="825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m加黑"/>
                    <pic:cNvPicPr>
                      <a:picLocks noChangeAspect="1" noChangeArrowheads="1"/>
                    </pic:cNvPicPr>
                  </pic:nvPicPr>
                  <pic:blipFill>
                    <a:blip r:embed="rId8" cstate="print"/>
                    <a:srcRect/>
                    <a:stretch>
                      <a:fillRect/>
                    </a:stretch>
                  </pic:blipFill>
                  <pic:spPr>
                    <a:xfrm>
                      <a:off x="0" y="0"/>
                      <a:ext cx="887095" cy="581025"/>
                    </a:xfrm>
                    <a:prstGeom prst="rect">
                      <a:avLst/>
                    </a:prstGeom>
                    <a:noFill/>
                    <a:ln w="9525">
                      <a:noFill/>
                      <a:miter lim="800000"/>
                      <a:headEnd/>
                      <a:tailEnd/>
                    </a:ln>
                    <a:effectLst/>
                  </pic:spPr>
                </pic:pic>
              </a:graphicData>
            </a:graphic>
          </wp:anchor>
        </w:drawing>
      </w:r>
    </w:p>
    <w:p w:rsidR="00CC57F5" w:rsidRDefault="00CC57F5" w:rsidP="00A86327">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A86327">
      <w:pPr>
        <w:spacing w:line="600" w:lineRule="exact"/>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993BFF">
        <w:rPr>
          <w:rFonts w:eastAsia="方正仿宋_GBK" w:hint="eastAsia"/>
          <w:sz w:val="32"/>
          <w:szCs w:val="32"/>
        </w:rPr>
        <w:t>6</w:t>
      </w:r>
      <w:r>
        <w:rPr>
          <w:rFonts w:eastAsia="方正仿宋_GBK"/>
          <w:sz w:val="32"/>
          <w:szCs w:val="32"/>
        </w:rPr>
        <w:t>月</w:t>
      </w:r>
      <w:r w:rsidR="005A6885">
        <w:rPr>
          <w:rFonts w:eastAsia="方正仿宋_GBK" w:hint="eastAsia"/>
          <w:sz w:val="32"/>
          <w:szCs w:val="32"/>
        </w:rPr>
        <w:t>25</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281" w:rsidRDefault="009F4281" w:rsidP="00F83239">
      <w:pPr>
        <w:ind w:firstLine="560"/>
      </w:pPr>
      <w:r>
        <w:separator/>
      </w:r>
    </w:p>
  </w:endnote>
  <w:endnote w:type="continuationSeparator" w:id="1">
    <w:p w:rsidR="009F4281" w:rsidRDefault="009F4281"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8E7A17">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8E7A17">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1D7554" w:rsidRPr="001D7554">
          <w:rPr>
            <w:noProof/>
            <w:sz w:val="24"/>
            <w:szCs w:val="24"/>
            <w:lang w:val="zh-CN"/>
          </w:rPr>
          <w:t>6</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281" w:rsidRDefault="009F4281" w:rsidP="00F83239">
      <w:pPr>
        <w:ind w:firstLine="560"/>
      </w:pPr>
      <w:r>
        <w:separator/>
      </w:r>
    </w:p>
  </w:footnote>
  <w:footnote w:type="continuationSeparator" w:id="1">
    <w:p w:rsidR="009F4281" w:rsidRDefault="009F4281"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D7554"/>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A6885"/>
    <w:rsid w:val="005B3914"/>
    <w:rsid w:val="005B5220"/>
    <w:rsid w:val="005C63DE"/>
    <w:rsid w:val="005D76E1"/>
    <w:rsid w:val="005E3C94"/>
    <w:rsid w:val="005E7220"/>
    <w:rsid w:val="005F2365"/>
    <w:rsid w:val="005F4428"/>
    <w:rsid w:val="006022C3"/>
    <w:rsid w:val="006503C9"/>
    <w:rsid w:val="0067034D"/>
    <w:rsid w:val="00681D40"/>
    <w:rsid w:val="0068746C"/>
    <w:rsid w:val="006B436D"/>
    <w:rsid w:val="006C0AA8"/>
    <w:rsid w:val="006C6448"/>
    <w:rsid w:val="006C75E3"/>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8E7A17"/>
    <w:rsid w:val="0090217E"/>
    <w:rsid w:val="009300F7"/>
    <w:rsid w:val="00942BE6"/>
    <w:rsid w:val="00961EAE"/>
    <w:rsid w:val="00961F68"/>
    <w:rsid w:val="00987672"/>
    <w:rsid w:val="00993BFF"/>
    <w:rsid w:val="009C04A4"/>
    <w:rsid w:val="009E1DA3"/>
    <w:rsid w:val="009F4281"/>
    <w:rsid w:val="009F44C2"/>
    <w:rsid w:val="00A061B1"/>
    <w:rsid w:val="00A501D3"/>
    <w:rsid w:val="00A657DC"/>
    <w:rsid w:val="00A86327"/>
    <w:rsid w:val="00AB7E79"/>
    <w:rsid w:val="00AF523A"/>
    <w:rsid w:val="00B245CA"/>
    <w:rsid w:val="00B52EE8"/>
    <w:rsid w:val="00B53895"/>
    <w:rsid w:val="00B63581"/>
    <w:rsid w:val="00B961A9"/>
    <w:rsid w:val="00BA2AD2"/>
    <w:rsid w:val="00BB60A2"/>
    <w:rsid w:val="00BD45A6"/>
    <w:rsid w:val="00C201E9"/>
    <w:rsid w:val="00C21F35"/>
    <w:rsid w:val="00C222DB"/>
    <w:rsid w:val="00C34BC4"/>
    <w:rsid w:val="00C43A70"/>
    <w:rsid w:val="00C62BA4"/>
    <w:rsid w:val="00C67809"/>
    <w:rsid w:val="00C73091"/>
    <w:rsid w:val="00C813B0"/>
    <w:rsid w:val="00C9229C"/>
    <w:rsid w:val="00CA5714"/>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300"/>
    <w:rsid w:val="00E9455B"/>
    <w:rsid w:val="00EA008D"/>
    <w:rsid w:val="00EA65DD"/>
    <w:rsid w:val="00EA7DEA"/>
    <w:rsid w:val="00ED4876"/>
    <w:rsid w:val="00EE6CD5"/>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287</Words>
  <Characters>1638</Characters>
  <Application>Microsoft Office Word</Application>
  <DocSecurity>0</DocSecurity>
  <Lines>13</Lines>
  <Paragraphs>3</Paragraphs>
  <ScaleCrop>false</ScaleCrop>
  <Company>Hewlett-Packard Company</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42</cp:revision>
  <cp:lastPrinted>2023-01-13T05:34:00Z</cp:lastPrinted>
  <dcterms:created xsi:type="dcterms:W3CDTF">2022-12-07T07:58:00Z</dcterms:created>
  <dcterms:modified xsi:type="dcterms:W3CDTF">2023-07-11T04:06:00Z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