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312" w:afterLines="100" w:line="594" w:lineRule="exact"/>
        <w:rPr>
          <w:rFonts w:hint="eastAsia" w:eastAsia="方正仿宋_GBK"/>
          <w:sz w:val="32"/>
          <w:szCs w:val="32"/>
        </w:rPr>
      </w:pPr>
      <w:r>
        <w:rPr>
          <w:rFonts w:hint="eastAsia" w:eastAsia="方正仿宋_GBK"/>
          <w:sz w:val="32"/>
          <w:szCs w:val="32"/>
        </w:rPr>
        <w:t>附件2</w:t>
      </w:r>
    </w:p>
    <w:p>
      <w:pPr>
        <w:spacing w:line="548" w:lineRule="exact"/>
        <w:jc w:val="center"/>
        <w:rPr>
          <w:rFonts w:hint="eastAsia" w:ascii="方正小标宋_GBK" w:hAnsi="方正小标宋_GBK" w:eastAsia="方正小标宋_GBK" w:cs="方正小标宋_GBK"/>
          <w:bCs/>
          <w:sz w:val="44"/>
          <w:szCs w:val="44"/>
        </w:rPr>
      </w:pPr>
    </w:p>
    <w:p>
      <w:pPr>
        <w:spacing w:line="520" w:lineRule="exact"/>
        <w:jc w:val="center"/>
        <w:rPr>
          <w:rFonts w:hint="eastAsia" w:ascii="方正小标宋_GBK" w:hAnsi="方正小标宋_GBK" w:eastAsia="方正小标宋_GBK" w:cs="方正小标宋_GBK"/>
          <w:bCs/>
          <w:sz w:val="44"/>
          <w:szCs w:val="44"/>
        </w:rPr>
      </w:pPr>
      <w:bookmarkStart w:id="7" w:name="_GoBack"/>
      <w:r>
        <w:rPr>
          <w:rFonts w:hint="eastAsia" w:ascii="方正小标宋_GBK" w:hAnsi="方正小标宋_GBK" w:eastAsia="方正小标宋_GBK" w:cs="方正小标宋_GBK"/>
          <w:bCs/>
          <w:sz w:val="44"/>
          <w:szCs w:val="44"/>
        </w:rPr>
        <w:t>龙湖嘉天下独龙运动休闲公园</w:t>
      </w:r>
    </w:p>
    <w:p>
      <w:pPr>
        <w:spacing w:line="52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水土保持方案报告书专家评审意见</w:t>
      </w:r>
    </w:p>
    <w:bookmarkEnd w:id="7"/>
    <w:p>
      <w:pPr>
        <w:spacing w:line="520" w:lineRule="exact"/>
        <w:ind w:right="-16" w:rightChars="-8" w:firstLine="420" w:firstLineChars="200"/>
        <w:rPr>
          <w:szCs w:val="28"/>
        </w:rPr>
      </w:pPr>
    </w:p>
    <w:p>
      <w:pPr>
        <w:spacing w:line="520" w:lineRule="exact"/>
        <w:ind w:firstLine="640" w:firstLineChars="200"/>
        <w:rPr>
          <w:rFonts w:eastAsia="方正仿宋_GBK"/>
          <w:sz w:val="32"/>
          <w:szCs w:val="32"/>
          <w:highlight w:val="yellow"/>
        </w:rPr>
      </w:pPr>
      <w:r>
        <w:rPr>
          <w:rFonts w:eastAsia="方正仿宋_GBK"/>
          <w:sz w:val="32"/>
          <w:szCs w:val="32"/>
        </w:rPr>
        <w:t>2023年11月9日，重庆市巴南区水利局组织召开了《龙湖嘉天下独龙运动休闲公园水土保持方案报告书（送审稿）》（以下简称《水保方案（送审稿）》）专家评审会。</w:t>
      </w:r>
      <w:r>
        <w:rPr>
          <w:rFonts w:hint="eastAsia" w:eastAsia="方正仿宋_GBK"/>
          <w:sz w:val="32"/>
          <w:szCs w:val="32"/>
        </w:rPr>
        <w:t>重庆市</w:t>
      </w:r>
      <w:r>
        <w:rPr>
          <w:rFonts w:eastAsia="方正仿宋_GBK"/>
          <w:sz w:val="32"/>
          <w:szCs w:val="32"/>
        </w:rPr>
        <w:t>巴南区水利局、重庆龙湖朗晟房地产开发有限公司（项目法人）、重庆润源鑫水土保持科技开发有限公司（报告编制单位）的代表参加了会议。会议成立了专家组，专家组成员会前详细审阅了《水保方案（送审稿）》，与会人员会上认真听取了项目法人和报告编制单位的汇报，并进行了深入讨论。根据“</w:t>
      </w:r>
      <w:r>
        <w:rPr>
          <w:rFonts w:hint="eastAsia" w:eastAsia="方正仿宋_GBK"/>
          <w:sz w:val="32"/>
          <w:szCs w:val="32"/>
        </w:rPr>
        <w:t>办</w:t>
      </w:r>
      <w:r>
        <w:rPr>
          <w:rFonts w:eastAsia="方正仿宋_GBK"/>
          <w:sz w:val="32"/>
          <w:szCs w:val="32"/>
        </w:rPr>
        <w:t>水保〔202</w:t>
      </w:r>
      <w:r>
        <w:rPr>
          <w:rFonts w:hint="eastAsia" w:eastAsia="方正仿宋_GBK"/>
          <w:sz w:val="32"/>
          <w:szCs w:val="32"/>
        </w:rPr>
        <w:t>3</w:t>
      </w:r>
      <w:r>
        <w:rPr>
          <w:rFonts w:eastAsia="方正仿宋_GBK"/>
          <w:sz w:val="32"/>
          <w:szCs w:val="32"/>
        </w:rPr>
        <w:t>〕</w:t>
      </w:r>
      <w:r>
        <w:rPr>
          <w:rFonts w:hint="eastAsia" w:eastAsia="方正仿宋_GBK"/>
          <w:sz w:val="32"/>
          <w:szCs w:val="32"/>
        </w:rPr>
        <w:t>177</w:t>
      </w:r>
      <w:r>
        <w:rPr>
          <w:rFonts w:eastAsia="方正仿宋_GBK"/>
          <w:sz w:val="32"/>
          <w:szCs w:val="32"/>
        </w:rPr>
        <w:t>号”、“渝水〔2018〕267号”、“渝水规范〔202</w:t>
      </w:r>
      <w:r>
        <w:rPr>
          <w:rFonts w:hint="eastAsia" w:eastAsia="方正仿宋_GBK"/>
          <w:sz w:val="32"/>
          <w:szCs w:val="32"/>
        </w:rPr>
        <w:t>3</w:t>
      </w:r>
      <w:r>
        <w:rPr>
          <w:rFonts w:eastAsia="方正仿宋_GBK"/>
          <w:sz w:val="32"/>
          <w:szCs w:val="32"/>
        </w:rPr>
        <w:t>〕</w:t>
      </w:r>
      <w:r>
        <w:rPr>
          <w:rFonts w:hint="eastAsia" w:eastAsia="方正仿宋_GBK"/>
          <w:sz w:val="32"/>
          <w:szCs w:val="32"/>
        </w:rPr>
        <w:t>5</w:t>
      </w:r>
      <w:r>
        <w:rPr>
          <w:rFonts w:eastAsia="方正仿宋_GBK"/>
          <w:sz w:val="32"/>
          <w:szCs w:val="32"/>
        </w:rPr>
        <w:t>号”，专家组对《水保方案（送审稿）》进行了质量评分，质量评定等级合格。报告编制单位会后对《水保方案（送审稿）》进行了修改、补充和完善，项目法人于2023年11月20日提交了《龙湖嘉天下独龙运动休闲公园水土保持方案报告书（报批稿）》。经专家组复核，形成专家评审意见如下：</w:t>
      </w:r>
    </w:p>
    <w:p>
      <w:pPr>
        <w:spacing w:line="52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一、综合说明</w:t>
      </w:r>
    </w:p>
    <w:p>
      <w:pPr>
        <w:spacing w:line="520" w:lineRule="exact"/>
        <w:ind w:firstLine="640" w:firstLineChars="200"/>
        <w:rPr>
          <w:rFonts w:eastAsia="方正仿宋_GBK"/>
          <w:sz w:val="32"/>
          <w:szCs w:val="32"/>
        </w:rPr>
      </w:pPr>
      <w:r>
        <w:rPr>
          <w:rFonts w:eastAsia="方正仿宋_GBK"/>
          <w:sz w:val="32"/>
          <w:szCs w:val="32"/>
        </w:rPr>
        <w:t>（一）方案编制依据的法律法规、部委规章、规范性文件、规范标准和技术资料基本正确。</w:t>
      </w:r>
    </w:p>
    <w:p>
      <w:pPr>
        <w:spacing w:line="520" w:lineRule="exact"/>
        <w:ind w:firstLine="640" w:firstLineChars="200"/>
        <w:rPr>
          <w:rFonts w:eastAsia="方正仿宋_GBK"/>
          <w:sz w:val="32"/>
          <w:szCs w:val="32"/>
        </w:rPr>
      </w:pPr>
      <w:r>
        <w:rPr>
          <w:rFonts w:eastAsia="方正仿宋_GBK"/>
          <w:sz w:val="32"/>
          <w:szCs w:val="32"/>
        </w:rPr>
        <w:t>（二）同意方案设计水平年为2025年。</w:t>
      </w:r>
    </w:p>
    <w:p>
      <w:pPr>
        <w:spacing w:line="520" w:lineRule="exact"/>
        <w:ind w:firstLine="640" w:firstLineChars="200"/>
        <w:rPr>
          <w:rFonts w:eastAsia="方正仿宋_GBK"/>
          <w:sz w:val="32"/>
          <w:szCs w:val="32"/>
        </w:rPr>
      </w:pPr>
      <w:r>
        <w:rPr>
          <w:rFonts w:eastAsia="方正仿宋_GBK"/>
          <w:sz w:val="32"/>
          <w:szCs w:val="32"/>
        </w:rPr>
        <w:t>（三）同意水土流失防治责任范围的界定，水土流失防治责任范围面积为12.42hm</w:t>
      </w:r>
      <w:r>
        <w:rPr>
          <w:rFonts w:eastAsia="方正仿宋_GBK"/>
          <w:sz w:val="32"/>
          <w:szCs w:val="32"/>
          <w:vertAlign w:val="superscript"/>
        </w:rPr>
        <w:t>2</w:t>
      </w:r>
      <w:r>
        <w:rPr>
          <w:rFonts w:eastAsia="方正仿宋_GBK"/>
          <w:sz w:val="32"/>
          <w:szCs w:val="32"/>
        </w:rPr>
        <w:t>。</w:t>
      </w:r>
    </w:p>
    <w:p>
      <w:pPr>
        <w:spacing w:line="520" w:lineRule="exact"/>
        <w:ind w:firstLine="640" w:firstLineChars="200"/>
        <w:rPr>
          <w:rFonts w:eastAsia="方正仿宋_GBK"/>
          <w:sz w:val="32"/>
          <w:szCs w:val="32"/>
        </w:rPr>
      </w:pPr>
      <w:r>
        <w:rPr>
          <w:rFonts w:eastAsia="方正仿宋_GBK"/>
          <w:sz w:val="32"/>
          <w:szCs w:val="32"/>
        </w:rPr>
        <w:t>（四）同意水土流失防治标准执行等级为西南紫色土区建设类一级标准。</w:t>
      </w:r>
    </w:p>
    <w:p>
      <w:pPr>
        <w:pStyle w:val="9"/>
        <w:spacing w:line="520" w:lineRule="exact"/>
        <w:ind w:firstLine="640" w:firstLineChars="200"/>
        <w:rPr>
          <w:rFonts w:eastAsia="方正仿宋_GBK"/>
          <w:sz w:val="32"/>
          <w:szCs w:val="32"/>
        </w:rPr>
      </w:pPr>
      <w:r>
        <w:rPr>
          <w:rFonts w:eastAsia="方正仿宋_GBK"/>
          <w:color w:val="auto"/>
          <w:sz w:val="32"/>
          <w:szCs w:val="32"/>
        </w:rPr>
        <w:t>（五）同意水土流失防治目标。其中：水土流失治理度97%，土壤流失控制比1.0，渣土防护率94%，表土保护率92%，林草植被恢复率97%，林草覆盖率27%。</w:t>
      </w:r>
    </w:p>
    <w:p>
      <w:pPr>
        <w:spacing w:line="520" w:lineRule="exact"/>
        <w:ind w:firstLine="640" w:firstLineChars="200"/>
        <w:outlineLvl w:val="0"/>
        <w:rPr>
          <w:rFonts w:ascii="黑体" w:hAnsi="黑体" w:eastAsia="黑体" w:cs="黑体"/>
          <w:sz w:val="32"/>
          <w:szCs w:val="32"/>
        </w:rPr>
      </w:pPr>
      <w:r>
        <w:rPr>
          <w:rFonts w:ascii="黑体" w:hAnsi="黑体" w:eastAsia="黑体" w:cs="黑体"/>
          <w:sz w:val="32"/>
          <w:szCs w:val="32"/>
        </w:rPr>
        <w:t>二、项目概况</w:t>
      </w:r>
    </w:p>
    <w:p>
      <w:pPr>
        <w:tabs>
          <w:tab w:val="left" w:pos="0"/>
          <w:tab w:val="left" w:pos="900"/>
        </w:tabs>
        <w:autoSpaceDE w:val="0"/>
        <w:autoSpaceDN w:val="0"/>
        <w:spacing w:line="520" w:lineRule="exact"/>
        <w:ind w:firstLine="640" w:firstLineChars="200"/>
        <w:rPr>
          <w:rFonts w:eastAsia="方正仿宋_GBK"/>
          <w:sz w:val="32"/>
          <w:szCs w:val="32"/>
        </w:rPr>
      </w:pPr>
      <w:r>
        <w:rPr>
          <w:rFonts w:eastAsia="方正仿宋_GBK"/>
          <w:sz w:val="32"/>
          <w:szCs w:val="32"/>
        </w:rPr>
        <w:t>（一）项目概况阐述基本清楚。</w:t>
      </w:r>
    </w:p>
    <w:p>
      <w:pPr>
        <w:spacing w:line="520" w:lineRule="exact"/>
        <w:ind w:firstLine="627" w:firstLineChars="196"/>
        <w:textAlignment w:val="baseline"/>
        <w:rPr>
          <w:rFonts w:eastAsia="方正仿宋_GBK"/>
          <w:bCs/>
          <w:sz w:val="32"/>
          <w:szCs w:val="32"/>
          <w:lang w:val="zh-CN"/>
        </w:rPr>
      </w:pPr>
      <w:r>
        <w:rPr>
          <w:rFonts w:eastAsia="方正仿宋_GBK"/>
          <w:sz w:val="32"/>
          <w:szCs w:val="32"/>
        </w:rPr>
        <w:t>龙湖嘉天下独龙运动休闲公园位于重庆市巴南区</w:t>
      </w:r>
      <w:r>
        <w:rPr>
          <w:rFonts w:hint="eastAsia" w:eastAsia="方正仿宋_GBK"/>
          <w:sz w:val="32"/>
          <w:szCs w:val="32"/>
        </w:rPr>
        <w:t>龙洲湾街道</w:t>
      </w:r>
      <w:r>
        <w:rPr>
          <w:rFonts w:eastAsia="方正仿宋_GBK"/>
          <w:sz w:val="32"/>
          <w:szCs w:val="32"/>
        </w:rPr>
        <w:t>，</w:t>
      </w:r>
      <w:r>
        <w:rPr>
          <w:rFonts w:hint="eastAsia" w:eastAsia="方正仿宋_GBK"/>
          <w:sz w:val="32"/>
          <w:szCs w:val="32"/>
        </w:rPr>
        <w:t>总占地面积12.42</w:t>
      </w:r>
      <w:r>
        <w:rPr>
          <w:rFonts w:eastAsia="方正仿宋_GBK"/>
          <w:sz w:val="32"/>
          <w:szCs w:val="32"/>
        </w:rPr>
        <w:t>hm</w:t>
      </w:r>
      <w:r>
        <w:rPr>
          <w:rFonts w:eastAsia="方正仿宋_GBK"/>
          <w:sz w:val="32"/>
          <w:szCs w:val="32"/>
          <w:vertAlign w:val="superscript"/>
        </w:rPr>
        <w:t>2</w:t>
      </w:r>
      <w:r>
        <w:rPr>
          <w:rFonts w:hint="eastAsia" w:eastAsia="方正仿宋_GBK"/>
          <w:sz w:val="32"/>
          <w:szCs w:val="32"/>
        </w:rPr>
        <w:t>（124246.50m</w:t>
      </w:r>
      <w:r>
        <w:rPr>
          <w:rFonts w:hint="eastAsia" w:eastAsia="方正仿宋_GBK"/>
          <w:sz w:val="32"/>
          <w:szCs w:val="32"/>
          <w:vertAlign w:val="superscript"/>
        </w:rPr>
        <w:t>2</w:t>
      </w:r>
      <w:r>
        <w:rPr>
          <w:rFonts w:hint="eastAsia" w:eastAsia="方正仿宋_GBK"/>
          <w:sz w:val="32"/>
          <w:szCs w:val="32"/>
        </w:rPr>
        <w:t>），其中永久占地面积11.95</w:t>
      </w:r>
      <w:r>
        <w:rPr>
          <w:rFonts w:eastAsia="方正仿宋_GBK"/>
          <w:sz w:val="32"/>
          <w:szCs w:val="32"/>
        </w:rPr>
        <w:t>hm</w:t>
      </w:r>
      <w:r>
        <w:rPr>
          <w:rFonts w:eastAsia="方正仿宋_GBK"/>
          <w:sz w:val="32"/>
          <w:szCs w:val="32"/>
          <w:vertAlign w:val="superscript"/>
        </w:rPr>
        <w:t>2</w:t>
      </w:r>
      <w:r>
        <w:rPr>
          <w:rFonts w:hint="eastAsia" w:eastAsia="方正仿宋_GBK"/>
          <w:sz w:val="32"/>
          <w:szCs w:val="32"/>
        </w:rPr>
        <w:t>，临时占地面积0.47</w:t>
      </w:r>
      <w:r>
        <w:rPr>
          <w:rFonts w:eastAsia="方正仿宋_GBK"/>
          <w:sz w:val="32"/>
          <w:szCs w:val="32"/>
        </w:rPr>
        <w:t>hm</w:t>
      </w:r>
      <w:r>
        <w:rPr>
          <w:rFonts w:eastAsia="方正仿宋_GBK"/>
          <w:sz w:val="32"/>
          <w:szCs w:val="32"/>
          <w:vertAlign w:val="superscript"/>
        </w:rPr>
        <w:t>2</w:t>
      </w:r>
      <w:r>
        <w:rPr>
          <w:rFonts w:hint="eastAsia" w:eastAsia="方正仿宋_GBK"/>
          <w:sz w:val="32"/>
          <w:szCs w:val="32"/>
        </w:rPr>
        <w:t>，均为公园占地。项目分两期建设，其中一期项目占地面积为1.31h</w:t>
      </w:r>
      <w:r>
        <w:rPr>
          <w:rFonts w:eastAsia="方正仿宋_GBK"/>
          <w:sz w:val="32"/>
          <w:szCs w:val="32"/>
        </w:rPr>
        <w:t>m</w:t>
      </w:r>
      <w:r>
        <w:rPr>
          <w:rFonts w:hint="eastAsia" w:eastAsia="方正仿宋_GBK"/>
          <w:sz w:val="32"/>
          <w:szCs w:val="32"/>
          <w:vertAlign w:val="superscript"/>
        </w:rPr>
        <w:t>2</w:t>
      </w:r>
      <w:r>
        <w:rPr>
          <w:rFonts w:hint="eastAsia" w:eastAsia="方正仿宋_GBK"/>
          <w:sz w:val="32"/>
          <w:szCs w:val="32"/>
        </w:rPr>
        <w:t>（其中永久占地0.84h</w:t>
      </w:r>
      <w:r>
        <w:rPr>
          <w:rFonts w:eastAsia="方正仿宋_GBK"/>
          <w:sz w:val="32"/>
          <w:szCs w:val="32"/>
        </w:rPr>
        <w:t>m</w:t>
      </w:r>
      <w:r>
        <w:rPr>
          <w:rFonts w:hint="eastAsia" w:eastAsia="方正仿宋_GBK"/>
          <w:sz w:val="32"/>
          <w:szCs w:val="32"/>
          <w:vertAlign w:val="superscript"/>
        </w:rPr>
        <w:t>2</w:t>
      </w:r>
      <w:r>
        <w:rPr>
          <w:rFonts w:hint="eastAsia" w:eastAsia="方正仿宋_GBK"/>
          <w:sz w:val="32"/>
          <w:szCs w:val="32"/>
        </w:rPr>
        <w:t>，临时占地0.47h</w:t>
      </w:r>
      <w:r>
        <w:rPr>
          <w:rFonts w:eastAsia="方正仿宋_GBK"/>
          <w:sz w:val="32"/>
          <w:szCs w:val="32"/>
        </w:rPr>
        <w:t>m</w:t>
      </w:r>
      <w:r>
        <w:rPr>
          <w:rFonts w:hint="eastAsia" w:eastAsia="方正仿宋_GBK"/>
          <w:sz w:val="32"/>
          <w:szCs w:val="32"/>
          <w:vertAlign w:val="superscript"/>
        </w:rPr>
        <w:t>2</w:t>
      </w:r>
      <w:r>
        <w:rPr>
          <w:rFonts w:hint="eastAsia" w:eastAsia="方正仿宋_GBK"/>
          <w:sz w:val="32"/>
          <w:szCs w:val="32"/>
        </w:rPr>
        <w:t>），二期项目永久占地面积为11.12h</w:t>
      </w:r>
      <w:r>
        <w:rPr>
          <w:rFonts w:eastAsia="方正仿宋_GBK"/>
          <w:sz w:val="32"/>
          <w:szCs w:val="32"/>
        </w:rPr>
        <w:t>m</w:t>
      </w:r>
      <w:r>
        <w:rPr>
          <w:rFonts w:hint="eastAsia" w:eastAsia="方正仿宋_GBK"/>
          <w:sz w:val="32"/>
          <w:szCs w:val="32"/>
          <w:vertAlign w:val="superscript"/>
        </w:rPr>
        <w:t>2</w:t>
      </w:r>
      <w:r>
        <w:rPr>
          <w:rFonts w:hint="eastAsia" w:eastAsia="方正仿宋_GBK"/>
          <w:sz w:val="32"/>
          <w:szCs w:val="32"/>
        </w:rPr>
        <w:t>；</w:t>
      </w:r>
      <w:r>
        <w:rPr>
          <w:rFonts w:eastAsia="方正仿宋_GBK"/>
          <w:sz w:val="32"/>
          <w:szCs w:val="32"/>
          <w:lang w:val="zh-CN"/>
        </w:rPr>
        <w:t>总</w:t>
      </w:r>
      <w:r>
        <w:rPr>
          <w:rFonts w:eastAsia="方正仿宋_GBK"/>
          <w:bCs/>
          <w:sz w:val="32"/>
          <w:szCs w:val="32"/>
          <w:lang w:val="zh-CN"/>
        </w:rPr>
        <w:t>建筑用地面积</w:t>
      </w:r>
      <w:r>
        <w:rPr>
          <w:rFonts w:eastAsia="方正仿宋_GBK"/>
          <w:bCs/>
          <w:sz w:val="32"/>
          <w:szCs w:val="32"/>
        </w:rPr>
        <w:t>375</w:t>
      </w:r>
      <w:r>
        <w:rPr>
          <w:rFonts w:eastAsia="方正仿宋_GBK"/>
          <w:bCs/>
          <w:sz w:val="32"/>
          <w:szCs w:val="32"/>
          <w:lang w:val="zh-CN"/>
        </w:rPr>
        <w:t>m</w:t>
      </w:r>
      <w:r>
        <w:rPr>
          <w:rFonts w:eastAsia="方正仿宋_GBK"/>
          <w:bCs/>
          <w:sz w:val="32"/>
          <w:szCs w:val="32"/>
          <w:vertAlign w:val="superscript"/>
          <w:lang w:val="zh-CN"/>
        </w:rPr>
        <w:t>2</w:t>
      </w:r>
      <w:r>
        <w:rPr>
          <w:rFonts w:eastAsia="方正仿宋_GBK"/>
          <w:bCs/>
          <w:sz w:val="32"/>
          <w:szCs w:val="32"/>
          <w:lang w:val="zh-CN"/>
        </w:rPr>
        <w:t>，均为地上建筑面积；地上停车场面积为</w:t>
      </w:r>
      <w:r>
        <w:rPr>
          <w:rFonts w:hint="eastAsia" w:eastAsia="方正仿宋_GBK"/>
          <w:bCs/>
          <w:sz w:val="32"/>
          <w:szCs w:val="32"/>
        </w:rPr>
        <w:t>2636</w:t>
      </w:r>
      <w:r>
        <w:rPr>
          <w:rFonts w:eastAsia="方正仿宋_GBK"/>
          <w:bCs/>
          <w:sz w:val="32"/>
          <w:szCs w:val="32"/>
          <w:lang w:val="zh-CN"/>
        </w:rPr>
        <w:t>m</w:t>
      </w:r>
      <w:r>
        <w:rPr>
          <w:rFonts w:eastAsia="方正仿宋_GBK"/>
          <w:bCs/>
          <w:sz w:val="32"/>
          <w:szCs w:val="32"/>
          <w:vertAlign w:val="superscript"/>
          <w:lang w:val="zh-CN"/>
        </w:rPr>
        <w:t>2</w:t>
      </w:r>
      <w:r>
        <w:rPr>
          <w:rFonts w:eastAsia="方正仿宋_GBK"/>
          <w:bCs/>
          <w:sz w:val="32"/>
          <w:szCs w:val="32"/>
          <w:lang w:val="zh-CN"/>
        </w:rPr>
        <w:t>，道路铺装及硬化面积</w:t>
      </w:r>
      <w:r>
        <w:rPr>
          <w:rFonts w:hint="eastAsia" w:eastAsia="方正仿宋_GBK"/>
          <w:bCs/>
          <w:sz w:val="32"/>
          <w:szCs w:val="32"/>
        </w:rPr>
        <w:t>27490.50</w:t>
      </w:r>
      <w:r>
        <w:rPr>
          <w:rFonts w:eastAsia="方正仿宋_GBK"/>
          <w:bCs/>
          <w:sz w:val="32"/>
          <w:szCs w:val="32"/>
          <w:lang w:val="zh-CN"/>
        </w:rPr>
        <w:t>m</w:t>
      </w:r>
      <w:r>
        <w:rPr>
          <w:rFonts w:eastAsia="方正仿宋_GBK"/>
          <w:bCs/>
          <w:sz w:val="32"/>
          <w:szCs w:val="32"/>
          <w:vertAlign w:val="superscript"/>
          <w:lang w:val="zh-CN"/>
        </w:rPr>
        <w:t>2</w:t>
      </w:r>
      <w:r>
        <w:rPr>
          <w:rFonts w:eastAsia="方正仿宋_GBK"/>
          <w:bCs/>
          <w:sz w:val="32"/>
          <w:szCs w:val="32"/>
          <w:lang w:val="zh-CN"/>
        </w:rPr>
        <w:t>，总绿地面积</w:t>
      </w:r>
      <w:r>
        <w:rPr>
          <w:rFonts w:hint="eastAsia" w:eastAsia="方正仿宋_GBK"/>
          <w:bCs/>
          <w:sz w:val="32"/>
          <w:szCs w:val="32"/>
        </w:rPr>
        <w:t>93745</w:t>
      </w:r>
      <w:r>
        <w:rPr>
          <w:rFonts w:eastAsia="方正仿宋_GBK"/>
          <w:bCs/>
          <w:sz w:val="32"/>
          <w:szCs w:val="32"/>
          <w:lang w:val="zh-CN"/>
        </w:rPr>
        <w:t>m</w:t>
      </w:r>
      <w:r>
        <w:rPr>
          <w:rFonts w:eastAsia="方正仿宋_GBK"/>
          <w:bCs/>
          <w:sz w:val="32"/>
          <w:szCs w:val="32"/>
          <w:vertAlign w:val="superscript"/>
          <w:lang w:val="zh-CN"/>
        </w:rPr>
        <w:t>2</w:t>
      </w:r>
      <w:r>
        <w:rPr>
          <w:rFonts w:eastAsia="方正仿宋_GBK"/>
          <w:bCs/>
          <w:sz w:val="32"/>
          <w:szCs w:val="32"/>
          <w:lang w:val="zh-CN"/>
        </w:rPr>
        <w:t>，绿化率</w:t>
      </w:r>
      <w:r>
        <w:rPr>
          <w:rFonts w:eastAsia="方正仿宋_GBK"/>
          <w:bCs/>
          <w:sz w:val="32"/>
          <w:szCs w:val="32"/>
        </w:rPr>
        <w:t>7</w:t>
      </w:r>
      <w:r>
        <w:rPr>
          <w:rFonts w:hint="eastAsia" w:eastAsia="方正仿宋_GBK"/>
          <w:bCs/>
          <w:sz w:val="32"/>
          <w:szCs w:val="32"/>
        </w:rPr>
        <w:t>5.45</w:t>
      </w:r>
      <w:r>
        <w:rPr>
          <w:rFonts w:eastAsia="方正仿宋_GBK"/>
          <w:bCs/>
          <w:sz w:val="32"/>
          <w:szCs w:val="32"/>
          <w:lang w:val="zh-CN"/>
        </w:rPr>
        <w:t>%。</w:t>
      </w:r>
    </w:p>
    <w:p>
      <w:pPr>
        <w:spacing w:line="520" w:lineRule="exact"/>
        <w:ind w:firstLine="640" w:firstLineChars="200"/>
        <w:rPr>
          <w:rFonts w:eastAsia="方正仿宋_GBK"/>
          <w:bCs/>
          <w:sz w:val="32"/>
          <w:szCs w:val="32"/>
          <w:lang w:val="zh-CN"/>
        </w:rPr>
      </w:pPr>
      <w:r>
        <w:rPr>
          <w:rFonts w:eastAsia="方正仿宋_GBK"/>
          <w:bCs/>
          <w:sz w:val="32"/>
          <w:szCs w:val="32"/>
          <w:lang w:val="zh-CN"/>
        </w:rPr>
        <w:t>项目</w:t>
      </w:r>
      <w:r>
        <w:rPr>
          <w:rFonts w:hint="eastAsia" w:eastAsia="方正仿宋_GBK"/>
          <w:bCs/>
          <w:sz w:val="32"/>
          <w:szCs w:val="32"/>
        </w:rPr>
        <w:t>挖填总量为14.80万</w:t>
      </w:r>
      <w:r>
        <w:rPr>
          <w:rFonts w:eastAsia="方正仿宋_GBK"/>
          <w:sz w:val="32"/>
          <w:szCs w:val="32"/>
        </w:rPr>
        <w:t>m</w:t>
      </w:r>
      <w:r>
        <w:rPr>
          <w:rFonts w:eastAsia="方正仿宋_GBK"/>
          <w:sz w:val="32"/>
          <w:szCs w:val="32"/>
          <w:vertAlign w:val="superscript"/>
        </w:rPr>
        <w:t>3</w:t>
      </w:r>
      <w:r>
        <w:rPr>
          <w:rFonts w:hint="eastAsia" w:eastAsia="方正仿宋_GBK"/>
          <w:bCs/>
          <w:sz w:val="32"/>
          <w:szCs w:val="32"/>
        </w:rPr>
        <w:t>，其中</w:t>
      </w:r>
      <w:r>
        <w:rPr>
          <w:rFonts w:eastAsia="方正仿宋_GBK"/>
          <w:bCs/>
          <w:sz w:val="32"/>
          <w:szCs w:val="32"/>
          <w:lang w:val="zh-CN"/>
        </w:rPr>
        <w:t>挖方总量为</w:t>
      </w:r>
      <w:r>
        <w:rPr>
          <w:rFonts w:eastAsia="方正仿宋_GBK"/>
          <w:bCs/>
          <w:sz w:val="32"/>
          <w:szCs w:val="32"/>
        </w:rPr>
        <w:t>7.40</w:t>
      </w:r>
      <w:r>
        <w:rPr>
          <w:rFonts w:eastAsia="方正仿宋_GBK"/>
          <w:bCs/>
          <w:sz w:val="32"/>
          <w:szCs w:val="32"/>
          <w:lang w:val="zh-CN"/>
        </w:rPr>
        <w:t>万</w:t>
      </w:r>
      <w:r>
        <w:rPr>
          <w:rFonts w:eastAsia="方正仿宋_GBK"/>
          <w:sz w:val="32"/>
          <w:szCs w:val="32"/>
        </w:rPr>
        <w:t>m</w:t>
      </w:r>
      <w:r>
        <w:rPr>
          <w:rFonts w:eastAsia="方正仿宋_GBK"/>
          <w:sz w:val="32"/>
          <w:szCs w:val="32"/>
          <w:vertAlign w:val="superscript"/>
        </w:rPr>
        <w:t>3</w:t>
      </w:r>
      <w:r>
        <w:rPr>
          <w:rFonts w:eastAsia="方正仿宋_GBK"/>
          <w:sz w:val="32"/>
          <w:szCs w:val="32"/>
        </w:rPr>
        <w:t>（含表土剥离0.93</w:t>
      </w:r>
      <w:r>
        <w:rPr>
          <w:rFonts w:eastAsia="方正仿宋_GBK"/>
          <w:bCs/>
          <w:sz w:val="32"/>
          <w:szCs w:val="32"/>
          <w:lang w:val="zh-CN"/>
        </w:rPr>
        <w:t>万</w:t>
      </w:r>
      <w:r>
        <w:rPr>
          <w:rFonts w:eastAsia="方正仿宋_GBK"/>
          <w:sz w:val="32"/>
          <w:szCs w:val="32"/>
        </w:rPr>
        <w:t>m</w:t>
      </w:r>
      <w:r>
        <w:rPr>
          <w:rFonts w:eastAsia="方正仿宋_GBK"/>
          <w:sz w:val="32"/>
          <w:szCs w:val="32"/>
          <w:vertAlign w:val="superscript"/>
        </w:rPr>
        <w:t>3</w:t>
      </w:r>
      <w:r>
        <w:rPr>
          <w:rFonts w:eastAsia="方正仿宋_GBK"/>
          <w:sz w:val="32"/>
          <w:szCs w:val="32"/>
        </w:rPr>
        <w:t>）</w:t>
      </w:r>
      <w:r>
        <w:rPr>
          <w:rFonts w:eastAsia="方正仿宋_GBK"/>
          <w:bCs/>
          <w:sz w:val="32"/>
          <w:szCs w:val="32"/>
          <w:lang w:val="zh-CN"/>
        </w:rPr>
        <w:t>，回填量</w:t>
      </w:r>
      <w:r>
        <w:rPr>
          <w:rFonts w:hint="eastAsia" w:eastAsia="方正仿宋_GBK"/>
          <w:bCs/>
          <w:sz w:val="32"/>
          <w:szCs w:val="32"/>
        </w:rPr>
        <w:t>7.40</w:t>
      </w:r>
      <w:r>
        <w:rPr>
          <w:rFonts w:eastAsia="方正仿宋_GBK"/>
          <w:bCs/>
          <w:sz w:val="32"/>
          <w:szCs w:val="32"/>
          <w:lang w:val="zh-CN"/>
        </w:rPr>
        <w:t>万</w:t>
      </w:r>
      <w:r>
        <w:rPr>
          <w:rFonts w:eastAsia="方正仿宋_GBK"/>
          <w:sz w:val="32"/>
          <w:szCs w:val="32"/>
        </w:rPr>
        <w:t>m</w:t>
      </w:r>
      <w:r>
        <w:rPr>
          <w:rFonts w:eastAsia="方正仿宋_GBK"/>
          <w:sz w:val="32"/>
          <w:szCs w:val="32"/>
          <w:vertAlign w:val="superscript"/>
        </w:rPr>
        <w:t>3</w:t>
      </w:r>
      <w:r>
        <w:rPr>
          <w:rFonts w:eastAsia="方正仿宋_GBK"/>
          <w:sz w:val="32"/>
          <w:szCs w:val="32"/>
        </w:rPr>
        <w:t>（含表土回填0.93</w:t>
      </w:r>
      <w:r>
        <w:rPr>
          <w:rFonts w:eastAsia="方正仿宋_GBK"/>
          <w:bCs/>
          <w:sz w:val="32"/>
          <w:szCs w:val="32"/>
          <w:lang w:val="zh-CN"/>
        </w:rPr>
        <w:t>万</w:t>
      </w:r>
      <w:r>
        <w:rPr>
          <w:rFonts w:eastAsia="方正仿宋_GBK"/>
          <w:sz w:val="32"/>
          <w:szCs w:val="32"/>
        </w:rPr>
        <w:t>m</w:t>
      </w:r>
      <w:r>
        <w:rPr>
          <w:rFonts w:eastAsia="方正仿宋_GBK"/>
          <w:sz w:val="32"/>
          <w:szCs w:val="32"/>
          <w:vertAlign w:val="superscript"/>
        </w:rPr>
        <w:t>3</w:t>
      </w:r>
      <w:r>
        <w:rPr>
          <w:rFonts w:eastAsia="方正仿宋_GBK"/>
          <w:sz w:val="32"/>
          <w:szCs w:val="32"/>
        </w:rPr>
        <w:t>）</w:t>
      </w:r>
      <w:r>
        <w:rPr>
          <w:rFonts w:eastAsia="方正仿宋_GBK"/>
          <w:bCs/>
          <w:sz w:val="32"/>
          <w:szCs w:val="32"/>
          <w:lang w:val="zh-CN"/>
        </w:rPr>
        <w:t>，挖填平衡，无借方及弃方。</w:t>
      </w:r>
    </w:p>
    <w:p>
      <w:pPr>
        <w:adjustRightInd w:val="0"/>
        <w:snapToGrid w:val="0"/>
        <w:spacing w:line="520" w:lineRule="exact"/>
        <w:ind w:firstLine="640" w:firstLineChars="200"/>
        <w:rPr>
          <w:rFonts w:eastAsia="方正仿宋_GBK"/>
          <w:sz w:val="32"/>
          <w:szCs w:val="32"/>
        </w:rPr>
      </w:pPr>
      <w:r>
        <w:rPr>
          <w:rFonts w:eastAsia="方正仿宋_GBK"/>
          <w:sz w:val="32"/>
          <w:szCs w:val="32"/>
        </w:rPr>
        <w:t>本工程不涉及拆迁安置，无专项设施建设。</w:t>
      </w:r>
    </w:p>
    <w:p>
      <w:pPr>
        <w:adjustRightInd w:val="0"/>
        <w:snapToGrid w:val="0"/>
        <w:spacing w:line="520" w:lineRule="exact"/>
        <w:ind w:firstLine="640" w:firstLineChars="200"/>
        <w:rPr>
          <w:rFonts w:eastAsia="方正仿宋_GBK"/>
          <w:sz w:val="32"/>
          <w:szCs w:val="32"/>
        </w:rPr>
      </w:pPr>
      <w:r>
        <w:rPr>
          <w:rFonts w:eastAsia="方正仿宋_GBK"/>
          <w:sz w:val="32"/>
          <w:szCs w:val="32"/>
          <w:lang w:val="zh-CN"/>
        </w:rPr>
        <w:t>项目</w:t>
      </w:r>
      <w:r>
        <w:rPr>
          <w:rFonts w:eastAsia="方正仿宋_GBK"/>
          <w:sz w:val="32"/>
          <w:szCs w:val="32"/>
        </w:rPr>
        <w:t>总投资4040万元，其中土建投资2828万元，资金来源为业主自筹。一期项目建设时间为2021年10月~2022年3月，二期项目建设时间为2023年3月~2024年12月（含停工期），总工期28个月。</w:t>
      </w:r>
    </w:p>
    <w:p>
      <w:pPr>
        <w:adjustRightInd w:val="0"/>
        <w:snapToGrid w:val="0"/>
        <w:spacing w:line="520" w:lineRule="exact"/>
        <w:ind w:firstLine="640" w:firstLineChars="200"/>
        <w:rPr>
          <w:rFonts w:eastAsia="方正仿宋_GBK"/>
          <w:sz w:val="32"/>
          <w:szCs w:val="32"/>
        </w:rPr>
      </w:pPr>
      <w:r>
        <w:rPr>
          <w:rFonts w:eastAsia="方正仿宋_GBK"/>
          <w:sz w:val="32"/>
          <w:szCs w:val="32"/>
        </w:rPr>
        <w:t>（二）项目区地形地貌、地质、土壤、植被、气象、水文、环境敏感性等阐述较为清楚。</w:t>
      </w:r>
    </w:p>
    <w:p>
      <w:pPr>
        <w:spacing w:line="520" w:lineRule="exact"/>
        <w:ind w:firstLine="640" w:firstLineChars="200"/>
        <w:outlineLvl w:val="0"/>
        <w:rPr>
          <w:rFonts w:ascii="黑体" w:hAnsi="黑体" w:eastAsia="黑体" w:cs="黑体"/>
          <w:sz w:val="32"/>
          <w:szCs w:val="32"/>
        </w:rPr>
      </w:pPr>
      <w:r>
        <w:rPr>
          <w:rFonts w:ascii="黑体" w:hAnsi="黑体" w:eastAsia="黑体" w:cs="黑体"/>
          <w:sz w:val="32"/>
          <w:szCs w:val="32"/>
        </w:rPr>
        <w:t>三、项目水土保持评价</w:t>
      </w:r>
    </w:p>
    <w:p>
      <w:pPr>
        <w:spacing w:line="520" w:lineRule="exact"/>
        <w:ind w:firstLine="640" w:firstLineChars="200"/>
        <w:rPr>
          <w:rFonts w:eastAsia="方正仿宋_GBK"/>
          <w:bCs/>
          <w:sz w:val="32"/>
          <w:szCs w:val="32"/>
        </w:rPr>
      </w:pPr>
      <w:r>
        <w:rPr>
          <w:rFonts w:eastAsia="方正仿宋_GBK"/>
          <w:bCs/>
          <w:sz w:val="32"/>
          <w:szCs w:val="32"/>
        </w:rPr>
        <w:t>（一）基本同意主体工程选址（线）水土保持评价。</w:t>
      </w:r>
    </w:p>
    <w:p>
      <w:pPr>
        <w:spacing w:line="520" w:lineRule="exact"/>
        <w:ind w:firstLine="640" w:firstLineChars="200"/>
        <w:rPr>
          <w:rFonts w:eastAsia="方正仿宋_GBK"/>
          <w:bCs/>
          <w:sz w:val="32"/>
          <w:szCs w:val="32"/>
        </w:rPr>
      </w:pPr>
      <w:r>
        <w:rPr>
          <w:rFonts w:eastAsia="方正仿宋_GBK"/>
          <w:bCs/>
          <w:sz w:val="32"/>
          <w:szCs w:val="32"/>
        </w:rPr>
        <w:t>（二）基本同意建设方案与布局水土保持评价。</w:t>
      </w:r>
    </w:p>
    <w:p>
      <w:pPr>
        <w:spacing w:line="520" w:lineRule="exact"/>
        <w:ind w:firstLine="640" w:firstLineChars="200"/>
        <w:rPr>
          <w:rFonts w:eastAsia="方正仿宋_GBK"/>
          <w:bCs/>
          <w:sz w:val="32"/>
          <w:szCs w:val="32"/>
        </w:rPr>
      </w:pPr>
      <w:r>
        <w:rPr>
          <w:rFonts w:eastAsia="方正仿宋_GBK"/>
          <w:bCs/>
          <w:sz w:val="32"/>
          <w:szCs w:val="32"/>
        </w:rPr>
        <w:t>（三）基本同意对主体工程设计中水土保持措施的界定。</w:t>
      </w:r>
    </w:p>
    <w:p>
      <w:pPr>
        <w:spacing w:line="520" w:lineRule="exact"/>
        <w:ind w:firstLine="640" w:firstLineChars="200"/>
        <w:outlineLvl w:val="0"/>
        <w:rPr>
          <w:rFonts w:ascii="黑体" w:hAnsi="黑体" w:eastAsia="黑体" w:cs="黑体"/>
          <w:sz w:val="32"/>
          <w:szCs w:val="32"/>
        </w:rPr>
      </w:pPr>
      <w:r>
        <w:rPr>
          <w:rFonts w:ascii="黑体" w:hAnsi="黑体" w:eastAsia="黑体" w:cs="黑体"/>
          <w:sz w:val="32"/>
          <w:szCs w:val="32"/>
        </w:rPr>
        <w:t>四、水土流分析与预测</w:t>
      </w:r>
    </w:p>
    <w:p>
      <w:pPr>
        <w:adjustRightInd w:val="0"/>
        <w:snapToGrid w:val="0"/>
        <w:spacing w:line="520" w:lineRule="exact"/>
        <w:ind w:firstLine="640" w:firstLineChars="200"/>
        <w:rPr>
          <w:rFonts w:eastAsia="方正仿宋_GBK"/>
          <w:sz w:val="32"/>
          <w:szCs w:val="32"/>
        </w:rPr>
      </w:pPr>
      <w:r>
        <w:rPr>
          <w:rFonts w:eastAsia="方正仿宋_GBK"/>
          <w:sz w:val="32"/>
          <w:szCs w:val="32"/>
        </w:rPr>
        <w:t>（一）基本同意对项目水土流失现状及影响分析。</w:t>
      </w:r>
    </w:p>
    <w:p>
      <w:pPr>
        <w:adjustRightInd w:val="0"/>
        <w:snapToGrid w:val="0"/>
        <w:spacing w:line="520" w:lineRule="exact"/>
        <w:ind w:firstLine="640" w:firstLineChars="200"/>
        <w:rPr>
          <w:rFonts w:eastAsia="方正仿宋_GBK"/>
          <w:sz w:val="32"/>
          <w:szCs w:val="32"/>
        </w:rPr>
      </w:pPr>
      <w:r>
        <w:rPr>
          <w:rFonts w:eastAsia="方正仿宋_GBK"/>
          <w:sz w:val="32"/>
          <w:szCs w:val="32"/>
        </w:rPr>
        <w:t>（二）基本同意项目建设扰动地表面积12.42hm</w:t>
      </w:r>
      <w:r>
        <w:rPr>
          <w:rFonts w:eastAsia="方正仿宋_GBK"/>
          <w:sz w:val="32"/>
          <w:szCs w:val="32"/>
          <w:vertAlign w:val="superscript"/>
        </w:rPr>
        <w:t xml:space="preserve">2 </w:t>
      </w:r>
      <w:r>
        <w:rPr>
          <w:rFonts w:eastAsia="方正仿宋_GBK"/>
          <w:sz w:val="32"/>
          <w:szCs w:val="32"/>
        </w:rPr>
        <w:t>，损坏植被面积2.40hm</w:t>
      </w:r>
      <w:r>
        <w:rPr>
          <w:rFonts w:eastAsia="方正仿宋_GBK"/>
          <w:sz w:val="32"/>
          <w:szCs w:val="32"/>
          <w:vertAlign w:val="superscript"/>
        </w:rPr>
        <w:t>2</w:t>
      </w:r>
      <w:r>
        <w:rPr>
          <w:rFonts w:eastAsia="方正仿宋_GBK"/>
          <w:sz w:val="32"/>
          <w:szCs w:val="32"/>
        </w:rPr>
        <w:t>。</w:t>
      </w:r>
    </w:p>
    <w:p>
      <w:pPr>
        <w:spacing w:line="520" w:lineRule="exact"/>
        <w:ind w:firstLine="640" w:firstLineChars="200"/>
        <w:rPr>
          <w:rFonts w:eastAsia="方正仿宋_GBK"/>
          <w:sz w:val="32"/>
          <w:szCs w:val="32"/>
        </w:rPr>
      </w:pPr>
      <w:r>
        <w:rPr>
          <w:rFonts w:eastAsia="方正仿宋_GBK"/>
          <w:sz w:val="32"/>
          <w:szCs w:val="32"/>
        </w:rPr>
        <w:t>（三）基本同意项目建设可能造成的土壤流失总量为268t，新增土壤流失量为123t。</w:t>
      </w:r>
    </w:p>
    <w:p>
      <w:pPr>
        <w:spacing w:line="520" w:lineRule="exact"/>
        <w:ind w:firstLine="640" w:firstLineChars="200"/>
        <w:rPr>
          <w:rFonts w:eastAsia="方正仿宋_GBK"/>
          <w:sz w:val="32"/>
          <w:szCs w:val="32"/>
        </w:rPr>
      </w:pPr>
      <w:r>
        <w:rPr>
          <w:rFonts w:eastAsia="方正仿宋_GBK"/>
          <w:sz w:val="32"/>
          <w:szCs w:val="32"/>
        </w:rPr>
        <w:t>（四）基本同意水土流失的危害性分析和指导性意见。</w:t>
      </w:r>
    </w:p>
    <w:p>
      <w:pPr>
        <w:spacing w:line="520" w:lineRule="exact"/>
        <w:ind w:firstLine="640" w:firstLineChars="200"/>
        <w:outlineLvl w:val="0"/>
        <w:rPr>
          <w:rFonts w:ascii="黑体" w:hAnsi="黑体" w:eastAsia="黑体" w:cs="黑体"/>
          <w:sz w:val="32"/>
          <w:szCs w:val="32"/>
        </w:rPr>
      </w:pPr>
      <w:r>
        <w:rPr>
          <w:rFonts w:ascii="黑体" w:hAnsi="黑体" w:eastAsia="黑体" w:cs="黑体"/>
          <w:sz w:val="32"/>
          <w:szCs w:val="32"/>
        </w:rPr>
        <w:t>五、水土保持措施</w:t>
      </w:r>
    </w:p>
    <w:p>
      <w:pPr>
        <w:adjustRightInd w:val="0"/>
        <w:snapToGrid w:val="0"/>
        <w:spacing w:line="520" w:lineRule="exact"/>
        <w:ind w:firstLine="640" w:firstLineChars="200"/>
        <w:rPr>
          <w:rFonts w:eastAsia="方正仿宋_GBK"/>
          <w:sz w:val="32"/>
          <w:szCs w:val="32"/>
        </w:rPr>
      </w:pPr>
      <w:r>
        <w:rPr>
          <w:rFonts w:eastAsia="方正仿宋_GBK"/>
          <w:sz w:val="32"/>
          <w:szCs w:val="32"/>
        </w:rPr>
        <w:t>（一）基本同意本项目划分为一期项目防治区和二期项目防治区2个防治区。</w:t>
      </w:r>
    </w:p>
    <w:p>
      <w:pPr>
        <w:spacing w:line="520" w:lineRule="exact"/>
        <w:ind w:firstLine="640" w:firstLineChars="200"/>
        <w:rPr>
          <w:rFonts w:eastAsia="方正仿宋_GBK"/>
          <w:sz w:val="32"/>
          <w:szCs w:val="32"/>
        </w:rPr>
      </w:pPr>
      <w:bookmarkStart w:id="0" w:name="_Toc197147903"/>
      <w:bookmarkStart w:id="1" w:name="_Toc211063906"/>
      <w:bookmarkStart w:id="2" w:name="_Toc212968412"/>
      <w:bookmarkStart w:id="3" w:name="_Toc196628359"/>
      <w:bookmarkStart w:id="4" w:name="_Toc208023523"/>
      <w:bookmarkStart w:id="5" w:name="_Toc196628603"/>
      <w:bookmarkStart w:id="6" w:name="_Toc184357072"/>
      <w:r>
        <w:rPr>
          <w:rFonts w:eastAsia="方正仿宋_GBK"/>
          <w:sz w:val="32"/>
          <w:szCs w:val="32"/>
        </w:rPr>
        <w:t>（二）基本同意由主体工程设计中具有水土保持功能的措施和方案新增的防治措施所组成的水土流失防治体系。</w:t>
      </w:r>
    </w:p>
    <w:p>
      <w:pPr>
        <w:pStyle w:val="9"/>
        <w:spacing w:line="520" w:lineRule="exact"/>
        <w:ind w:firstLine="640" w:firstLineChars="200"/>
        <w:rPr>
          <w:rFonts w:eastAsia="方正仿宋_GBK"/>
          <w:sz w:val="32"/>
          <w:szCs w:val="32"/>
        </w:rPr>
      </w:pPr>
      <w:r>
        <w:rPr>
          <w:rFonts w:eastAsia="方正仿宋_GBK"/>
          <w:color w:val="auto"/>
          <w:sz w:val="32"/>
          <w:szCs w:val="32"/>
        </w:rPr>
        <w:t>（三）基本同意各防治区的措施布局和新增水土保持措施典型设计。</w:t>
      </w:r>
    </w:p>
    <w:bookmarkEnd w:id="0"/>
    <w:bookmarkEnd w:id="1"/>
    <w:bookmarkEnd w:id="2"/>
    <w:bookmarkEnd w:id="3"/>
    <w:bookmarkEnd w:id="4"/>
    <w:bookmarkEnd w:id="5"/>
    <w:bookmarkEnd w:id="6"/>
    <w:p>
      <w:pPr>
        <w:spacing w:line="520" w:lineRule="exact"/>
        <w:ind w:firstLine="640" w:firstLineChars="200"/>
        <w:rPr>
          <w:rFonts w:eastAsia="方正仿宋_GBK"/>
          <w:sz w:val="32"/>
          <w:szCs w:val="32"/>
          <w:lang w:val="zh-CN"/>
        </w:rPr>
      </w:pPr>
      <w:r>
        <w:rPr>
          <w:rFonts w:eastAsia="方正仿宋_GBK"/>
          <w:sz w:val="32"/>
          <w:szCs w:val="32"/>
          <w:lang w:val="zh-CN"/>
        </w:rPr>
        <w:t>（1）</w:t>
      </w:r>
      <w:r>
        <w:rPr>
          <w:rFonts w:eastAsia="方正仿宋_GBK"/>
          <w:sz w:val="32"/>
          <w:szCs w:val="32"/>
        </w:rPr>
        <w:t>一期项目防治区</w:t>
      </w:r>
    </w:p>
    <w:p>
      <w:pPr>
        <w:adjustRightInd w:val="0"/>
        <w:snapToGrid w:val="0"/>
        <w:spacing w:line="520" w:lineRule="exact"/>
        <w:ind w:firstLine="640" w:firstLineChars="200"/>
        <w:rPr>
          <w:rFonts w:eastAsia="方正仿宋_GBK"/>
          <w:sz w:val="32"/>
          <w:szCs w:val="32"/>
        </w:rPr>
      </w:pPr>
      <w:r>
        <w:rPr>
          <w:rFonts w:eastAsia="方正仿宋_GBK"/>
          <w:sz w:val="32"/>
          <w:szCs w:val="32"/>
        </w:rPr>
        <w:t>施工过程中，主体对一期项目区内裸露区域及临时材料堆放区域采取防雨布进行临时覆盖。</w:t>
      </w:r>
    </w:p>
    <w:p>
      <w:pPr>
        <w:adjustRightInd w:val="0"/>
        <w:snapToGrid w:val="0"/>
        <w:spacing w:line="520" w:lineRule="exact"/>
        <w:ind w:firstLine="640" w:firstLineChars="200"/>
        <w:rPr>
          <w:rFonts w:eastAsia="方正仿宋_GBK"/>
          <w:sz w:val="32"/>
          <w:szCs w:val="32"/>
        </w:rPr>
      </w:pPr>
      <w:r>
        <w:rPr>
          <w:rFonts w:eastAsia="方正仿宋_GBK"/>
          <w:sz w:val="32"/>
          <w:szCs w:val="32"/>
        </w:rPr>
        <w:t>施工末期，主体沿一期项目区内人行步道左侧设置了永久排水沟，排水出口接入本区地块东侧的现状河道内；在本区内部道路、人行步道及地上停车场区域设置了透水铺装，对绿化区域采取种植乔灌草的方式进行景观绿化。</w:t>
      </w:r>
    </w:p>
    <w:p>
      <w:pPr>
        <w:spacing w:line="520" w:lineRule="exact"/>
        <w:ind w:firstLine="640" w:firstLineChars="200"/>
        <w:rPr>
          <w:rFonts w:eastAsia="方正仿宋_GBK"/>
          <w:sz w:val="32"/>
          <w:szCs w:val="32"/>
          <w:lang w:val="zh-CN"/>
        </w:rPr>
      </w:pPr>
      <w:r>
        <w:rPr>
          <w:rFonts w:eastAsia="方正仿宋_GBK"/>
          <w:sz w:val="32"/>
          <w:szCs w:val="32"/>
          <w:lang w:val="zh-CN"/>
        </w:rPr>
        <w:t>（2）</w:t>
      </w:r>
      <w:r>
        <w:rPr>
          <w:rFonts w:eastAsia="方正仿宋_GBK"/>
          <w:sz w:val="32"/>
          <w:szCs w:val="32"/>
        </w:rPr>
        <w:t>二期项目</w:t>
      </w:r>
      <w:r>
        <w:rPr>
          <w:rFonts w:eastAsia="方正仿宋_GBK"/>
          <w:sz w:val="32"/>
          <w:szCs w:val="32"/>
          <w:lang w:val="zh-CN"/>
        </w:rPr>
        <w:t>防治区</w:t>
      </w:r>
    </w:p>
    <w:p>
      <w:pPr>
        <w:adjustRightInd w:val="0"/>
        <w:snapToGrid w:val="0"/>
        <w:spacing w:line="520" w:lineRule="exact"/>
        <w:ind w:firstLine="640" w:firstLineChars="200"/>
        <w:rPr>
          <w:rFonts w:eastAsia="方正仿宋_GBK"/>
          <w:sz w:val="32"/>
          <w:szCs w:val="32"/>
        </w:rPr>
      </w:pPr>
      <w:r>
        <w:rPr>
          <w:rFonts w:eastAsia="方正仿宋_GBK"/>
          <w:sz w:val="32"/>
          <w:szCs w:val="32"/>
        </w:rPr>
        <w:t>复工后，主体计划在东北侧施工出入口区域设置一座车辆冲洗站，车辆冲洗站配套有一座临时沉砂池。方案新增对二期项目区内可剥离表土区域进行表土剥离，表土集中堆放在本区地块内东北侧设置的表土堆放场集中堆存；沿表土堆放场四周坡底设置编织土袋进行临时拦挡；沿表土堆场编织土袋外侧四周设置一条临时排水沟，临时排水沟出口接入地块东侧新增的临时沉砂池，后接入地块外东侧市政雨水管网内；堆土表面采用防雨布进行临时覆盖；沿主体在内部道路永久排水沟敷设位置采取永临结合的方式布设临时排水沟（临时排水沟不单独计列措施工程量及投资），在临时排水沟出口处设置临时沉砂池，排水出口接入地块西侧或东侧的市政雨水管网内；对二期项目区内长时间裸露区域采取防雨布进行临时覆盖。</w:t>
      </w:r>
    </w:p>
    <w:p>
      <w:pPr>
        <w:adjustRightInd w:val="0"/>
        <w:snapToGrid w:val="0"/>
        <w:spacing w:line="520" w:lineRule="exact"/>
        <w:ind w:firstLine="640" w:firstLineChars="200"/>
        <w:rPr>
          <w:rFonts w:eastAsia="方正仿宋_GBK"/>
          <w:sz w:val="32"/>
          <w:szCs w:val="32"/>
        </w:rPr>
      </w:pPr>
      <w:r>
        <w:rPr>
          <w:rFonts w:eastAsia="方正仿宋_GBK"/>
          <w:sz w:val="32"/>
          <w:szCs w:val="32"/>
        </w:rPr>
        <w:t>施工末期，主体在二期项目区内部道路、人行步道、体育设施区域及地上停车场等区域设置透水铺装；沿项目区内部道路一侧设置永久排水沟，排水出口均接入项目区内雨水管网；在二期项目区入口广场及地上停车场设置5条雨水排水管，排水出口接入地块外西侧或东侧的市政雨水管网内；对项目区内绿化区域进行表土回填后采取种植乔灌草的方式进行景观绿化。</w:t>
      </w:r>
    </w:p>
    <w:p>
      <w:pPr>
        <w:spacing w:line="520" w:lineRule="exact"/>
        <w:ind w:firstLine="640" w:firstLineChars="200"/>
        <w:outlineLvl w:val="0"/>
        <w:rPr>
          <w:rFonts w:ascii="黑体" w:hAnsi="黑体" w:eastAsia="黑体" w:cs="黑体"/>
          <w:sz w:val="32"/>
          <w:szCs w:val="32"/>
        </w:rPr>
      </w:pPr>
      <w:r>
        <w:rPr>
          <w:rFonts w:ascii="黑体" w:hAnsi="黑体" w:eastAsia="黑体" w:cs="黑体"/>
          <w:sz w:val="32"/>
          <w:szCs w:val="32"/>
        </w:rPr>
        <w:t>六、水土保持监测</w:t>
      </w:r>
    </w:p>
    <w:p>
      <w:pPr>
        <w:spacing w:line="520" w:lineRule="exact"/>
        <w:ind w:firstLine="640" w:firstLineChars="200"/>
        <w:rPr>
          <w:rFonts w:eastAsia="方正仿宋_GBK"/>
          <w:bCs/>
          <w:sz w:val="32"/>
          <w:szCs w:val="32"/>
        </w:rPr>
      </w:pPr>
      <w:r>
        <w:rPr>
          <w:rFonts w:eastAsia="方正仿宋_GBK"/>
          <w:bCs/>
          <w:sz w:val="32"/>
          <w:szCs w:val="32"/>
        </w:rPr>
        <w:t>基本同意水土保持监测方案。</w:t>
      </w:r>
    </w:p>
    <w:p>
      <w:pPr>
        <w:spacing w:line="520" w:lineRule="exact"/>
        <w:ind w:firstLine="640" w:firstLineChars="200"/>
        <w:outlineLvl w:val="0"/>
        <w:rPr>
          <w:rFonts w:ascii="黑体" w:hAnsi="黑体" w:eastAsia="黑体" w:cs="黑体"/>
          <w:sz w:val="32"/>
          <w:szCs w:val="32"/>
        </w:rPr>
      </w:pPr>
      <w:r>
        <w:rPr>
          <w:rFonts w:ascii="黑体" w:hAnsi="黑体" w:eastAsia="黑体" w:cs="黑体"/>
          <w:sz w:val="32"/>
          <w:szCs w:val="32"/>
        </w:rPr>
        <w:t>七、水土保持投资估算及效益分析</w:t>
      </w:r>
    </w:p>
    <w:p>
      <w:pPr>
        <w:spacing w:line="520" w:lineRule="exact"/>
        <w:ind w:firstLine="640" w:firstLineChars="200"/>
        <w:rPr>
          <w:rFonts w:eastAsia="方正仿宋_GBK"/>
          <w:sz w:val="32"/>
          <w:szCs w:val="32"/>
        </w:rPr>
      </w:pPr>
      <w:r>
        <w:rPr>
          <w:rFonts w:eastAsia="方正仿宋_GBK"/>
          <w:sz w:val="32"/>
          <w:szCs w:val="32"/>
        </w:rPr>
        <w:t>（一）投资估算编制依据正确，费用及定额选择基本合理，编制深度基本满足规范要求。</w:t>
      </w:r>
    </w:p>
    <w:p>
      <w:pPr>
        <w:spacing w:line="520" w:lineRule="exact"/>
        <w:ind w:firstLine="640" w:firstLineChars="200"/>
        <w:rPr>
          <w:rFonts w:eastAsia="方正仿宋_GBK"/>
          <w:bCs/>
          <w:color w:val="0000FF"/>
          <w:sz w:val="32"/>
          <w:szCs w:val="32"/>
        </w:rPr>
      </w:pPr>
      <w:r>
        <w:rPr>
          <w:rFonts w:eastAsia="方正仿宋_GBK"/>
          <w:bCs/>
          <w:sz w:val="32"/>
          <w:szCs w:val="32"/>
        </w:rPr>
        <w:t>（二）经审核，水土保持方案总投资为1633.91万元，其中：主体已列1559.47万元，本方案新增74.44万元</w:t>
      </w:r>
      <w:r>
        <w:rPr>
          <w:rFonts w:hint="eastAsia" w:eastAsia="方正仿宋_GBK"/>
          <w:bCs/>
          <w:sz w:val="32"/>
          <w:szCs w:val="32"/>
        </w:rPr>
        <w:t>。</w:t>
      </w:r>
      <w:r>
        <w:rPr>
          <w:rFonts w:eastAsia="方正仿宋_GBK"/>
          <w:bCs/>
          <w:sz w:val="32"/>
          <w:szCs w:val="32"/>
        </w:rPr>
        <w:t>在方案新增投资中</w:t>
      </w:r>
      <w:r>
        <w:rPr>
          <w:rFonts w:hint="eastAsia" w:eastAsia="方正仿宋_GBK"/>
          <w:bCs/>
          <w:sz w:val="32"/>
          <w:szCs w:val="32"/>
        </w:rPr>
        <w:t>工程措施23.05万元，监测措施16.48万元，临时措施3.75万元，</w:t>
      </w:r>
      <w:r>
        <w:rPr>
          <w:rFonts w:eastAsia="方正仿宋_GBK"/>
          <w:bCs/>
          <w:sz w:val="32"/>
          <w:szCs w:val="32"/>
        </w:rPr>
        <w:t>独立费用</w:t>
      </w:r>
      <w:r>
        <w:rPr>
          <w:rFonts w:hint="eastAsia" w:eastAsia="方正仿宋_GBK"/>
          <w:bCs/>
          <w:sz w:val="32"/>
          <w:szCs w:val="32"/>
        </w:rPr>
        <w:t>10.54</w:t>
      </w:r>
      <w:r>
        <w:rPr>
          <w:rFonts w:eastAsia="方正仿宋_GBK"/>
          <w:bCs/>
          <w:sz w:val="32"/>
          <w:szCs w:val="32"/>
        </w:rPr>
        <w:t>万元</w:t>
      </w:r>
      <w:r>
        <w:rPr>
          <w:rFonts w:hint="eastAsia" w:eastAsia="方正仿宋_GBK"/>
          <w:bCs/>
          <w:sz w:val="32"/>
          <w:szCs w:val="32"/>
        </w:rPr>
        <w:t>，基本预备费3.23万元，</w:t>
      </w:r>
      <w:r>
        <w:rPr>
          <w:rFonts w:eastAsia="方正仿宋_GBK"/>
          <w:bCs/>
          <w:sz w:val="32"/>
          <w:szCs w:val="32"/>
          <w:lang w:val="zh-CN"/>
        </w:rPr>
        <w:t>水土保持补偿费</w:t>
      </w:r>
      <w:r>
        <w:rPr>
          <w:rFonts w:hint="eastAsia" w:eastAsia="方正仿宋_GBK"/>
          <w:bCs/>
          <w:sz w:val="32"/>
          <w:szCs w:val="32"/>
        </w:rPr>
        <w:t>17.39</w:t>
      </w:r>
      <w:r>
        <w:rPr>
          <w:rFonts w:eastAsia="方正仿宋_GBK"/>
          <w:bCs/>
          <w:sz w:val="32"/>
          <w:szCs w:val="32"/>
          <w:lang w:val="zh-CN"/>
        </w:rPr>
        <w:t>万元</w:t>
      </w:r>
      <w:r>
        <w:rPr>
          <w:rFonts w:hint="eastAsia" w:eastAsia="方正仿宋_GBK"/>
          <w:bCs/>
          <w:sz w:val="32"/>
          <w:szCs w:val="32"/>
          <w:lang w:val="zh-CN"/>
        </w:rPr>
        <w:t>（</w:t>
      </w:r>
      <w:r>
        <w:rPr>
          <w:rFonts w:hint="eastAsia" w:eastAsia="方正仿宋_GBK"/>
          <w:bCs/>
          <w:sz w:val="32"/>
          <w:szCs w:val="32"/>
        </w:rPr>
        <w:t>173945.80元</w:t>
      </w:r>
      <w:r>
        <w:rPr>
          <w:rFonts w:hint="eastAsia" w:eastAsia="方正仿宋_GBK"/>
          <w:bCs/>
          <w:sz w:val="32"/>
          <w:szCs w:val="32"/>
          <w:lang w:val="zh-CN"/>
        </w:rPr>
        <w:t>）；</w:t>
      </w:r>
      <w:r>
        <w:rPr>
          <w:rFonts w:eastAsia="方正仿宋_GBK"/>
          <w:bCs/>
          <w:sz w:val="32"/>
          <w:szCs w:val="32"/>
        </w:rPr>
        <w:t>主体工程已列投资中工程措施</w:t>
      </w:r>
      <w:r>
        <w:rPr>
          <w:rFonts w:hint="eastAsia" w:eastAsia="方正仿宋_GBK"/>
          <w:bCs/>
          <w:sz w:val="32"/>
          <w:szCs w:val="32"/>
        </w:rPr>
        <w:t>122.53</w:t>
      </w:r>
      <w:r>
        <w:rPr>
          <w:rFonts w:eastAsia="方正仿宋_GBK"/>
          <w:bCs/>
          <w:sz w:val="32"/>
          <w:szCs w:val="32"/>
        </w:rPr>
        <w:t>万元，植物措施</w:t>
      </w:r>
      <w:r>
        <w:rPr>
          <w:rFonts w:hint="eastAsia" w:eastAsia="方正仿宋_GBK"/>
          <w:bCs/>
          <w:sz w:val="32"/>
          <w:szCs w:val="32"/>
        </w:rPr>
        <w:t>1435.20</w:t>
      </w:r>
      <w:r>
        <w:rPr>
          <w:rFonts w:eastAsia="方正仿宋_GBK"/>
          <w:bCs/>
          <w:sz w:val="32"/>
          <w:szCs w:val="32"/>
        </w:rPr>
        <w:t>万元</w:t>
      </w:r>
      <w:r>
        <w:rPr>
          <w:rFonts w:hint="eastAsia" w:eastAsia="方正仿宋_GBK"/>
          <w:bCs/>
          <w:sz w:val="32"/>
          <w:szCs w:val="32"/>
        </w:rPr>
        <w:t>，临时措施1.74万元</w:t>
      </w:r>
      <w:r>
        <w:rPr>
          <w:rFonts w:eastAsia="方正仿宋_GBK"/>
          <w:bCs/>
          <w:sz w:val="32"/>
          <w:szCs w:val="32"/>
        </w:rPr>
        <w:t>。</w:t>
      </w:r>
    </w:p>
    <w:p>
      <w:pPr>
        <w:spacing w:line="520" w:lineRule="exact"/>
        <w:ind w:firstLine="640" w:firstLineChars="200"/>
        <w:rPr>
          <w:rFonts w:eastAsia="方正仿宋_GBK"/>
          <w:sz w:val="32"/>
          <w:szCs w:val="32"/>
        </w:rPr>
      </w:pPr>
      <w:r>
        <w:rPr>
          <w:rFonts w:eastAsia="方正仿宋_GBK"/>
          <w:sz w:val="32"/>
          <w:szCs w:val="32"/>
        </w:rPr>
        <w:t>（三）效益分析方法正确，分析结果基本合理。</w:t>
      </w:r>
    </w:p>
    <w:p>
      <w:pPr>
        <w:spacing w:line="520" w:lineRule="exact"/>
        <w:ind w:firstLine="640" w:firstLineChars="200"/>
        <w:outlineLvl w:val="0"/>
        <w:rPr>
          <w:rFonts w:ascii="黑体" w:hAnsi="黑体" w:eastAsia="黑体" w:cs="黑体"/>
          <w:sz w:val="32"/>
          <w:szCs w:val="32"/>
        </w:rPr>
      </w:pPr>
      <w:r>
        <w:rPr>
          <w:rFonts w:ascii="黑体" w:hAnsi="黑体" w:eastAsia="黑体" w:cs="黑体"/>
          <w:sz w:val="32"/>
          <w:szCs w:val="32"/>
        </w:rPr>
        <w:t>八、水土保持管理</w:t>
      </w:r>
    </w:p>
    <w:p>
      <w:pPr>
        <w:spacing w:line="520" w:lineRule="exact"/>
        <w:ind w:firstLine="640" w:firstLineChars="200"/>
        <w:rPr>
          <w:rFonts w:eastAsia="方正仿宋_GBK"/>
          <w:sz w:val="32"/>
          <w:szCs w:val="32"/>
        </w:rPr>
      </w:pPr>
      <w:r>
        <w:rPr>
          <w:rFonts w:eastAsia="方正仿宋_GBK"/>
          <w:sz w:val="32"/>
          <w:szCs w:val="32"/>
        </w:rPr>
        <w:t>基本同意方案中提出的组织管理、后续设计、水土保持监测、水土保持监理、水土保持施工、水土保持设施验收等水土保持管理要求。</w:t>
      </w:r>
    </w:p>
    <w:p>
      <w:pPr>
        <w:spacing w:line="520" w:lineRule="exact"/>
        <w:ind w:firstLine="640" w:firstLineChars="200"/>
        <w:outlineLvl w:val="0"/>
        <w:rPr>
          <w:rFonts w:ascii="黑体" w:hAnsi="黑体" w:eastAsia="黑体" w:cs="黑体"/>
          <w:sz w:val="32"/>
          <w:szCs w:val="32"/>
        </w:rPr>
      </w:pPr>
      <w:r>
        <w:rPr>
          <w:rFonts w:ascii="黑体" w:hAnsi="黑体" w:eastAsia="黑体" w:cs="黑体"/>
          <w:sz w:val="32"/>
          <w:szCs w:val="32"/>
        </w:rPr>
        <w:t>九、评审结论</w:t>
      </w:r>
    </w:p>
    <w:p>
      <w:pPr>
        <w:pStyle w:val="9"/>
        <w:spacing w:line="520" w:lineRule="exact"/>
        <w:ind w:firstLine="640" w:firstLineChars="200"/>
        <w:rPr>
          <w:rFonts w:eastAsia="方正仿宋_GBK"/>
          <w:color w:val="auto"/>
          <w:sz w:val="32"/>
          <w:szCs w:val="32"/>
        </w:rPr>
      </w:pPr>
      <w:r>
        <w:rPr>
          <w:rFonts w:eastAsia="方正仿宋_GBK"/>
          <w:color w:val="auto"/>
          <w:sz w:val="32"/>
          <w:szCs w:val="32"/>
        </w:rPr>
        <w:t>综上，该水土保持方案报告（报批稿）符合《生产建设项目水土保持技术标准》（GB50433-2018）的规定及相关要求，报告格式规范、内容完整，技术方案基本可行。专家组原则同意该方案按程序报批。</w:t>
      </w:r>
    </w:p>
    <w:p>
      <w:pPr>
        <w:pStyle w:val="9"/>
        <w:spacing w:line="520" w:lineRule="exact"/>
        <w:ind w:firstLine="320"/>
        <w:rPr>
          <w:rFonts w:eastAsia="方正仿宋_GBK"/>
          <w:color w:val="auto"/>
          <w:sz w:val="32"/>
          <w:szCs w:val="32"/>
        </w:rPr>
      </w:pPr>
    </w:p>
    <w:p>
      <w:pPr>
        <w:spacing w:line="600" w:lineRule="exact"/>
        <w:ind w:right="561" w:firstLine="5600" w:firstLineChars="1750"/>
        <w:rPr>
          <w:rFonts w:eastAsia="方正仿宋_GBK"/>
          <w:sz w:val="32"/>
          <w:szCs w:val="32"/>
        </w:rPr>
      </w:pPr>
    </w:p>
    <w:p>
      <w:pPr>
        <w:spacing w:line="660" w:lineRule="exact"/>
        <w:ind w:right="561"/>
        <w:jc w:val="center"/>
        <w:rPr>
          <w:rFonts w:eastAsia="方正仿宋_GBK"/>
          <w:sz w:val="32"/>
          <w:szCs w:val="32"/>
        </w:rPr>
      </w:pP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专家组组长：</w:t>
      </w:r>
      <w:r>
        <w:rPr>
          <w:rFonts w:eastAsia="方正仿宋_GBK"/>
          <w:sz w:val="32"/>
          <w:szCs w:val="32"/>
        </w:rPr>
        <w:drawing>
          <wp:inline distT="0" distB="0" distL="114300" distR="114300">
            <wp:extent cx="1191260" cy="342900"/>
            <wp:effectExtent l="0" t="0" r="8890" b="0"/>
            <wp:docPr id="1" name="图片 1" descr="刘昌红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刘昌红签名"/>
                    <pic:cNvPicPr>
                      <a:picLocks noChangeAspect="1"/>
                    </pic:cNvPicPr>
                  </pic:nvPicPr>
                  <pic:blipFill>
                    <a:blip r:embed="rId7"/>
                    <a:stretch>
                      <a:fillRect/>
                    </a:stretch>
                  </pic:blipFill>
                  <pic:spPr>
                    <a:xfrm>
                      <a:off x="0" y="0"/>
                      <a:ext cx="1191260" cy="342900"/>
                    </a:xfrm>
                    <a:prstGeom prst="rect">
                      <a:avLst/>
                    </a:prstGeom>
                    <a:noFill/>
                    <a:ln>
                      <a:noFill/>
                    </a:ln>
                  </pic:spPr>
                </pic:pic>
              </a:graphicData>
            </a:graphic>
          </wp:inline>
        </w:drawing>
      </w:r>
    </w:p>
    <w:p>
      <w:pPr>
        <w:spacing w:line="520" w:lineRule="exact"/>
        <w:ind w:right="1120"/>
        <w:jc w:val="left"/>
        <w:rPr>
          <w:rFonts w:eastAsia="方正仿宋_GBK"/>
          <w:sz w:val="32"/>
          <w:szCs w:val="32"/>
        </w:rPr>
      </w:pPr>
      <w:r>
        <w:rPr>
          <w:rFonts w:eastAsia="方正仿宋_GBK"/>
          <w:sz w:val="32"/>
          <w:szCs w:val="32"/>
        </w:rPr>
        <w:t xml:space="preserve"> </w:t>
      </w:r>
      <w:r>
        <w:rPr>
          <w:rFonts w:hint="eastAsia" w:eastAsia="方正仿宋_GBK"/>
          <w:sz w:val="32"/>
          <w:szCs w:val="32"/>
        </w:rPr>
        <w:t xml:space="preserve">                               2023</w:t>
      </w:r>
      <w:r>
        <w:rPr>
          <w:rFonts w:eastAsia="方正仿宋_GBK"/>
          <w:sz w:val="32"/>
          <w:szCs w:val="32"/>
        </w:rPr>
        <w:t>年</w:t>
      </w:r>
      <w:r>
        <w:rPr>
          <w:rFonts w:hint="eastAsia" w:eastAsia="方正仿宋_GBK"/>
          <w:sz w:val="32"/>
          <w:szCs w:val="32"/>
        </w:rPr>
        <w:t>11</w:t>
      </w:r>
      <w:r>
        <w:rPr>
          <w:rFonts w:eastAsia="方正仿宋_GBK"/>
          <w:sz w:val="32"/>
          <w:szCs w:val="32"/>
        </w:rPr>
        <w:t>月</w:t>
      </w:r>
      <w:r>
        <w:rPr>
          <w:rFonts w:hint="eastAsia" w:eastAsia="方正仿宋_GBK"/>
          <w:sz w:val="32"/>
          <w:szCs w:val="32"/>
        </w:rPr>
        <w:t>22</w:t>
      </w:r>
      <w:r>
        <w:rPr>
          <w:rFonts w:eastAsia="方正仿宋_GBK"/>
          <w:sz w:val="32"/>
          <w:szCs w:val="32"/>
        </w:rPr>
        <w:t>日</w:t>
      </w:r>
    </w:p>
    <w:p>
      <w:pPr>
        <w:pStyle w:val="2"/>
        <w:rPr>
          <w:rFonts w:hint="eastAsia"/>
        </w:rPr>
      </w:pPr>
    </w:p>
    <w:p/>
    <w:p/>
    <w:sectPr>
      <w:headerReference r:id="rId3" w:type="default"/>
      <w:footerReference r:id="rId4" w:type="default"/>
      <w:footerReference r:id="rId5" w:type="even"/>
      <w:pgSz w:w="11906" w:h="16838"/>
      <w:pgMar w:top="2098" w:right="1531" w:bottom="1757" w:left="1531" w:header="0" w:footer="85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sz w:val="24"/>
        <w:szCs w:val="24"/>
      </w:rPr>
    </w:pPr>
    <w:r>
      <w:rPr>
        <w:sz w:val="24"/>
        <w:szCs w:val="24"/>
      </w:rPr>
      <w:fldChar w:fldCharType="begin"/>
    </w:r>
    <w:r>
      <w:rPr>
        <w:sz w:val="24"/>
        <w:szCs w:val="24"/>
      </w:rPr>
      <w:instrText xml:space="preserve"> PAGE   \* MERGEFORMAT </w:instrText>
    </w:r>
    <w:r>
      <w:rPr>
        <w:rFonts w:hint="eastAsia"/>
        <w:sz w:val="24"/>
        <w:szCs w:val="24"/>
      </w:rPr>
      <w:fldChar w:fldCharType="separate"/>
    </w:r>
    <w:r>
      <w:rPr>
        <w:sz w:val="24"/>
        <w:szCs w:val="24"/>
        <w:lang w:val="zh-CN"/>
      </w:rPr>
      <w:t>5</w:t>
    </w:r>
    <w:r>
      <w:rPr>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5C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customStyle="1" w:styleId="2">
    <w:name w:val="章标题"/>
    <w:basedOn w:val="1"/>
    <w:next w:val="3"/>
    <w:qFormat/>
    <w:uiPriority w:val="0"/>
    <w:pPr>
      <w:widowControl/>
      <w:spacing w:before="158" w:beforeLines="0" w:after="153" w:afterLines="0" w:line="323" w:lineRule="atLeast"/>
      <w:ind w:right="-120"/>
      <w:jc w:val="center"/>
      <w:textAlignment w:val="baseline"/>
    </w:pPr>
    <w:rPr>
      <w:color w:val="FF0000"/>
      <w:kern w:val="0"/>
      <w:sz w:val="18"/>
      <w:szCs w:val="18"/>
    </w:rPr>
  </w:style>
  <w:style w:type="paragraph" w:customStyle="1" w:styleId="3">
    <w:name w:val="节标题"/>
    <w:basedOn w:val="1"/>
    <w:next w:val="1"/>
    <w:qFormat/>
    <w:uiPriority w:val="0"/>
    <w:pPr>
      <w:widowControl/>
      <w:spacing w:line="289" w:lineRule="atLeast"/>
      <w:jc w:val="center"/>
      <w:textAlignment w:val="baseline"/>
    </w:pPr>
    <w:rPr>
      <w:rFonts w:eastAsia="仿宋_GB2312"/>
      <w:color w:val="000000"/>
      <w:kern w:val="0"/>
      <w:sz w:val="28"/>
      <w:szCs w:val="20"/>
      <w:u w:val="none" w:color="00000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paragraph" w:customStyle="1" w:styleId="9">
    <w:name w:val="正文缩2"/>
    <w:qFormat/>
    <w:uiPriority w:val="0"/>
    <w:pPr>
      <w:spacing w:line="360" w:lineRule="auto"/>
      <w:ind w:firstLine="240" w:firstLineChars="100"/>
    </w:pPr>
    <w:rPr>
      <w:rFonts w:ascii="Times New Roman" w:hAnsi="Times New Roman" w:eastAsia="宋体" w:cs="Times New Roman"/>
      <w:color w:val="FF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3D3D3D"/>
      </a:dk1>
      <a:lt1>
        <a:sysClr val="window" lastClr="FFFAE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2023-12-20T08:12:07Z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