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eastAsia="方正小标宋简体"/>
          <w:color w:val="auto"/>
          <w:sz w:val="40"/>
          <w:szCs w:val="40"/>
        </w:rPr>
      </w:pPr>
      <w:bookmarkStart w:id="0" w:name="content"/>
      <w:bookmarkEnd w:id="0"/>
    </w:p>
    <w:p>
      <w:pPr>
        <w:spacing w:line="600" w:lineRule="exact"/>
        <w:jc w:val="center"/>
        <w:rPr>
          <w:rFonts w:eastAsia="方正小标宋简体"/>
          <w:color w:val="auto"/>
          <w:sz w:val="40"/>
          <w:szCs w:val="40"/>
        </w:rPr>
      </w:pPr>
    </w:p>
    <w:p>
      <w:pPr>
        <w:spacing w:line="600" w:lineRule="exact"/>
        <w:jc w:val="center"/>
        <w:rPr>
          <w:rFonts w:eastAsia="方正小标宋简体"/>
          <w:color w:val="auto"/>
          <w:sz w:val="40"/>
          <w:szCs w:val="40"/>
        </w:rPr>
      </w:pPr>
    </w:p>
    <w:p>
      <w:pPr>
        <w:spacing w:line="1200" w:lineRule="exact"/>
        <w:ind w:right="-197" w:rightChars="-58"/>
        <w:jc w:val="center"/>
        <w:rPr>
          <w:w w:val="38"/>
        </w:rPr>
      </w:pPr>
      <w:r>
        <w:rPr>
          <w:rFonts w:hint="eastAsia" w:ascii="方正小标宋_GBK" w:hAnsi="方正小标宋_GBK" w:eastAsia="方正小标宋_GBK" w:cs="方正小标宋_GBK"/>
          <w:spacing w:val="-11"/>
          <w:w w:val="38"/>
          <w:sz w:val="100"/>
          <w:szCs w:val="100"/>
        </w:rPr>
        <w:t>重庆市巴南区城市综合管理工作领导小组办公室文件</w:t>
      </w:r>
    </w:p>
    <w:p>
      <w:pPr>
        <w:spacing w:line="520" w:lineRule="exact"/>
        <w:rPr>
          <w:rFonts w:eastAsia="方正小标宋简体"/>
          <w:color w:val="auto"/>
        </w:rPr>
      </w:pPr>
    </w:p>
    <w:p>
      <w:pPr>
        <w:spacing w:line="600" w:lineRule="exact"/>
        <w:jc w:val="center"/>
        <w:rPr>
          <w:rFonts w:eastAsia="方正仿宋_GBK"/>
          <w:color w:val="auto"/>
          <w:sz w:val="32"/>
          <w:szCs w:val="32"/>
        </w:rPr>
      </w:pPr>
      <w:r>
        <w:rPr>
          <w:rFonts w:hint="eastAsia" w:eastAsia="方正仿宋_GBK"/>
          <w:color w:val="auto"/>
          <w:sz w:val="32"/>
          <w:szCs w:val="32"/>
        </w:rPr>
        <w:t>巴南城综办</w:t>
      </w:r>
      <w:r>
        <w:rPr>
          <w:rFonts w:eastAsia="方正仿宋_GBK"/>
          <w:color w:val="auto"/>
          <w:sz w:val="32"/>
          <w:szCs w:val="32"/>
        </w:rPr>
        <w:t>〔20</w:t>
      </w:r>
      <w:r>
        <w:rPr>
          <w:rFonts w:hint="eastAsia" w:eastAsia="方正仿宋_GBK"/>
          <w:color w:val="auto"/>
          <w:sz w:val="32"/>
          <w:szCs w:val="32"/>
        </w:rPr>
        <w:t>22</w:t>
      </w:r>
      <w:r>
        <w:rPr>
          <w:rFonts w:eastAsia="方正仿宋_GBK"/>
          <w:color w:val="auto"/>
          <w:sz w:val="32"/>
          <w:szCs w:val="32"/>
        </w:rPr>
        <w:t>〕</w:t>
      </w:r>
      <w:r>
        <w:rPr>
          <w:rFonts w:hint="eastAsia" w:eastAsia="方正仿宋_GBK"/>
          <w:color w:val="auto"/>
          <w:sz w:val="32"/>
          <w:szCs w:val="32"/>
        </w:rPr>
        <w:t>2</w:t>
      </w:r>
      <w:r>
        <w:rPr>
          <w:rFonts w:eastAsia="方正仿宋_GBK"/>
          <w:color w:val="auto"/>
          <w:sz w:val="32"/>
          <w:szCs w:val="32"/>
        </w:rPr>
        <w:t>号</w:t>
      </w:r>
    </w:p>
    <w:p>
      <w:pPr>
        <w:spacing w:line="540" w:lineRule="exact"/>
        <w:jc w:val="center"/>
        <w:rPr>
          <w:color w:val="auto"/>
          <w:sz w:val="32"/>
          <w:szCs w:val="32"/>
        </w:rPr>
      </w:pPr>
      <w:r>
        <w:rPr>
          <w:color w:val="auto"/>
        </w:rPr>
        <mc:AlternateContent>
          <mc:Choice Requires="wps">
            <w:drawing>
              <wp:anchor distT="0" distB="0" distL="114300" distR="114300" simplePos="0" relativeHeight="251659264" behindDoc="0" locked="0" layoutInCell="1" allowOverlap="1">
                <wp:simplePos x="0" y="0"/>
                <wp:positionH relativeFrom="column">
                  <wp:posOffset>-103505</wp:posOffset>
                </wp:positionH>
                <wp:positionV relativeFrom="paragraph">
                  <wp:posOffset>23495</wp:posOffset>
                </wp:positionV>
                <wp:extent cx="5781675" cy="19050"/>
                <wp:effectExtent l="0" t="0" r="28575" b="19050"/>
                <wp:wrapNone/>
                <wp:docPr id="13" name="直接箭头连接符 1"/>
                <wp:cNvGraphicFramePr/>
                <a:graphic xmlns:a="http://schemas.openxmlformats.org/drawingml/2006/main">
                  <a:graphicData uri="http://schemas.microsoft.com/office/word/2010/wordprocessingShape">
                    <wps:wsp>
                      <wps:cNvCnPr/>
                      <wps:spPr>
                        <a:xfrm flipV="true">
                          <a:off x="0" y="0"/>
                          <a:ext cx="5781675" cy="19050"/>
                        </a:xfrm>
                        <a:prstGeom prst="straightConnector1">
                          <a:avLst/>
                        </a:prstGeom>
                        <a:ln w="22225" cap="flat" cmpd="sng">
                          <a:solidFill>
                            <a:srgbClr val="FF0000"/>
                          </a:solidFill>
                          <a:prstDash val="solid"/>
                          <a:headEnd type="none" w="med" len="med"/>
                          <a:tailEnd type="none" w="med" len="med"/>
                        </a:ln>
                      </wps:spPr>
                      <wps:bodyPr/>
                    </wps:wsp>
                  </a:graphicData>
                </a:graphic>
              </wp:anchor>
            </w:drawing>
          </mc:Choice>
          <mc:Fallback>
            <w:pict>
              <v:shape id="直接箭头连接符 1" o:spid="_x0000_s1026" o:spt="32" type="#_x0000_t32" style="position:absolute;left:0pt;flip:y;margin-left:-8.15pt;margin-top:1.85pt;height:1.5pt;width:455.25pt;z-index:251659264;mso-width-relative:page;mso-height-relative:page;" filled="f" stroked="t" coordsize="21600,21600" o:gfxdata="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oYjjR9UAAAAHAQAADwAAAAAAAAABACAAAAA4AAAA&#10;ZHJzL2Rvd25yZXYueG1sUEsBAhQAFAAAAAgAh07iQBhTemb0AQAAsQMAAA4AAAAAAAAAAQAgAAAA&#10;OgEAAGRycy9lMm9Eb2MueG1sUEsFBgAAAAAGAAYAWQEAAKAFAAAAAA==&#10;">
                <v:fill on="f" focussize="0,0"/>
                <v:stroke weight="1.75pt" color="#FF0000" joinstyle="round"/>
                <v:imagedata o:title=""/>
                <o:lock v:ext="edit" aspectratio="f"/>
              </v:shape>
            </w:pict>
          </mc:Fallback>
        </mc:AlternateContent>
      </w:r>
    </w:p>
    <w:p>
      <w:pPr>
        <w:spacing w:line="520" w:lineRule="exact"/>
        <w:jc w:val="center"/>
        <w:rPr>
          <w:rFonts w:ascii="方正小标宋_GBK" w:eastAsia="方正小标宋_GBK" w:cs="方正小标宋简体"/>
          <w:snapToGrid w:val="0"/>
          <w:color w:val="auto"/>
          <w:w w:val="90"/>
          <w:kern w:val="0"/>
          <w:sz w:val="44"/>
          <w:szCs w:val="44"/>
        </w:rPr>
      </w:pPr>
      <w:bookmarkStart w:id="76" w:name="_GoBack"/>
      <w:r>
        <w:rPr>
          <w:rFonts w:hint="eastAsia" w:ascii="方正小标宋_GBK" w:eastAsia="方正小标宋_GBK" w:cs="方正小标宋简体"/>
          <w:snapToGrid w:val="0"/>
          <w:color w:val="auto"/>
          <w:w w:val="90"/>
          <w:kern w:val="0"/>
          <w:sz w:val="44"/>
          <w:szCs w:val="44"/>
        </w:rPr>
        <w:t>重庆市巴南区城市综合管理工作领导小组办公室</w:t>
      </w:r>
    </w:p>
    <w:p>
      <w:pPr>
        <w:spacing w:line="520" w:lineRule="exact"/>
        <w:jc w:val="center"/>
        <w:rPr>
          <w:rFonts w:ascii="方正小标宋_GBK" w:eastAsia="方正小标宋_GBK" w:cs="方正小标宋简体"/>
          <w:snapToGrid w:val="0"/>
          <w:color w:val="auto"/>
          <w:w w:val="90"/>
          <w:kern w:val="0"/>
          <w:sz w:val="44"/>
          <w:szCs w:val="44"/>
        </w:rPr>
      </w:pPr>
      <w:r>
        <w:rPr>
          <w:rFonts w:hint="eastAsia" w:ascii="方正小标宋_GBK" w:eastAsia="方正小标宋_GBK" w:cs="方正小标宋简体"/>
          <w:snapToGrid w:val="0"/>
          <w:color w:val="auto"/>
          <w:w w:val="90"/>
          <w:kern w:val="0"/>
          <w:sz w:val="44"/>
          <w:szCs w:val="44"/>
        </w:rPr>
        <w:t>关于加强户外广告和招牌设施安全监管工作的通知</w:t>
      </w:r>
    </w:p>
    <w:bookmarkEnd w:id="76"/>
    <w:p>
      <w:pPr>
        <w:spacing w:line="520" w:lineRule="exact"/>
        <w:jc w:val="center"/>
        <w:rPr>
          <w:rFonts w:eastAsia="方正小标宋_GBK"/>
          <w:color w:val="auto"/>
          <w:sz w:val="44"/>
          <w:szCs w:val="44"/>
        </w:rPr>
      </w:pPr>
    </w:p>
    <w:p>
      <w:pPr>
        <w:spacing w:line="520" w:lineRule="exact"/>
        <w:textAlignment w:val="baseline"/>
        <w:rPr>
          <w:rFonts w:eastAsia="方正仿宋_GBK"/>
          <w:color w:val="auto"/>
          <w:sz w:val="32"/>
        </w:rPr>
      </w:pPr>
      <w:r>
        <w:rPr>
          <w:rFonts w:eastAsia="方正仿宋_GBK"/>
          <w:color w:val="auto"/>
          <w:sz w:val="32"/>
          <w:szCs w:val="32"/>
        </w:rPr>
        <w:t>各镇人民政府、街道办事处</w:t>
      </w:r>
      <w:r>
        <w:rPr>
          <w:rFonts w:hint="eastAsia" w:eastAsia="方正仿宋_GBK"/>
          <w:color w:val="auto"/>
          <w:sz w:val="32"/>
          <w:szCs w:val="32"/>
        </w:rPr>
        <w:t>，</w:t>
      </w:r>
      <w:r>
        <w:rPr>
          <w:rFonts w:eastAsia="方正仿宋_GBK"/>
          <w:color w:val="auto"/>
          <w:sz w:val="32"/>
          <w:szCs w:val="32"/>
        </w:rPr>
        <w:t>区级</w:t>
      </w:r>
      <w:r>
        <w:rPr>
          <w:rFonts w:hint="eastAsia" w:eastAsia="方正仿宋_GBK"/>
          <w:color w:val="auto"/>
          <w:sz w:val="32"/>
          <w:szCs w:val="32"/>
        </w:rPr>
        <w:t>相关</w:t>
      </w:r>
      <w:r>
        <w:rPr>
          <w:rFonts w:eastAsia="方正仿宋_GBK"/>
          <w:color w:val="auto"/>
          <w:sz w:val="32"/>
          <w:szCs w:val="32"/>
        </w:rPr>
        <w:t>部门</w:t>
      </w:r>
      <w:r>
        <w:rPr>
          <w:rFonts w:hint="eastAsia" w:eastAsia="方正仿宋_GBK"/>
          <w:color w:val="auto"/>
          <w:sz w:val="32"/>
          <w:szCs w:val="32"/>
        </w:rPr>
        <w:t>、区属国有平台公司、有关单位</w:t>
      </w:r>
      <w:r>
        <w:rPr>
          <w:rFonts w:eastAsia="方正仿宋_GBK"/>
          <w:color w:val="auto"/>
          <w:sz w:val="32"/>
        </w:rPr>
        <w:t>：</w:t>
      </w:r>
    </w:p>
    <w:p>
      <w:pPr>
        <w:spacing w:line="520" w:lineRule="exact"/>
        <w:ind w:firstLine="640" w:firstLineChars="200"/>
        <w:rPr>
          <w:rFonts w:eastAsia="方正仿宋_GBK"/>
          <w:color w:val="auto"/>
          <w:sz w:val="32"/>
        </w:rPr>
      </w:pPr>
      <w:r>
        <w:rPr>
          <w:rFonts w:hint="eastAsia" w:ascii="方正仿宋_GBK" w:hAnsi="方正仿宋_GBK" w:eastAsia="方正仿宋_GBK" w:cs="方正仿宋_GBK"/>
          <w:color w:val="auto"/>
          <w:sz w:val="32"/>
          <w:szCs w:val="32"/>
        </w:rPr>
        <w:t>根据《中华人民共和国安全生产法》、《重庆市安全生产条例》、《重庆市市容环境卫生管理条例》、《重庆市户外广告管理条例》、《重庆市户外招牌管理办法》等相关规定及要求，为进一步加强户外广告、招牌安全规范管理，避免户外广告和招牌设施出现垮塌、坠落、漏电等安全事故，确保城市管理领域安全稳定有序，现就加强户外广告和招牌设施安全监管工作通知如下。</w:t>
      </w:r>
    </w:p>
    <w:p>
      <w:pPr>
        <w:pStyle w:val="35"/>
        <w:widowControl w:val="0"/>
        <w:spacing w:before="0" w:beforeAutospacing="0" w:after="0" w:afterAutospacing="0" w:line="520" w:lineRule="exact"/>
        <w:ind w:firstLine="640" w:firstLineChars="200"/>
        <w:jc w:val="both"/>
        <w:rPr>
          <w:rFonts w:ascii="Times New Roman" w:eastAsia="方正黑体_GBK" w:cs="Times New Roman"/>
          <w:sz w:val="32"/>
          <w:szCs w:val="32"/>
        </w:rPr>
      </w:pPr>
      <w:r>
        <w:rPr>
          <w:rFonts w:hint="eastAsia" w:ascii="Times New Roman" w:eastAsia="方正黑体_GBK" w:cs="Times New Roman"/>
          <w:sz w:val="32"/>
          <w:szCs w:val="32"/>
        </w:rPr>
        <w:t>一</w:t>
      </w:r>
      <w:r>
        <w:rPr>
          <w:rFonts w:ascii="Times New Roman" w:eastAsia="方正黑体_GBK" w:cs="Times New Roman"/>
          <w:sz w:val="32"/>
          <w:szCs w:val="32"/>
        </w:rPr>
        <w:t>、</w:t>
      </w:r>
      <w:r>
        <w:rPr>
          <w:rFonts w:hint="eastAsia" w:ascii="Times New Roman" w:eastAsia="方正黑体_GBK" w:cs="Times New Roman"/>
          <w:sz w:val="32"/>
          <w:szCs w:val="32"/>
        </w:rPr>
        <w:t>监管范围及内容</w:t>
      </w:r>
    </w:p>
    <w:p>
      <w:pPr>
        <w:spacing w:line="520" w:lineRule="exact"/>
        <w:ind w:firstLine="640" w:firstLineChars="200"/>
        <w:textAlignment w:val="baseline"/>
        <w:rPr>
          <w:rFonts w:eastAsia="方正仿宋_GBK"/>
          <w:b/>
          <w:color w:val="auto"/>
          <w:sz w:val="32"/>
        </w:rPr>
      </w:pPr>
      <w:r>
        <w:rPr>
          <w:rFonts w:eastAsia="方正楷体_GBK"/>
          <w:color w:val="auto"/>
          <w:sz w:val="32"/>
        </w:rPr>
        <w:t>（一）</w:t>
      </w:r>
      <w:r>
        <w:rPr>
          <w:rFonts w:hint="eastAsia" w:eastAsia="方正楷体_GBK"/>
          <w:color w:val="auto"/>
          <w:sz w:val="32"/>
        </w:rPr>
        <w:t>监管</w:t>
      </w:r>
      <w:r>
        <w:rPr>
          <w:rFonts w:eastAsia="方正楷体_GBK"/>
          <w:color w:val="auto"/>
          <w:sz w:val="32"/>
        </w:rPr>
        <w:t>范围。</w:t>
      </w:r>
      <w:r>
        <w:rPr>
          <w:rFonts w:eastAsia="方正仿宋_GBK"/>
          <w:color w:val="auto"/>
          <w:sz w:val="32"/>
        </w:rPr>
        <w:t>道路沿线大型高立柱广告；附着于建（构）筑物楼顶墙面设置的户外LED屏、翻板、灯箱、霓虹灯、看板及各类招牌和LED字幕屏等广告设施；各类落地式户外广告和招牌；城市隧道、立交桥、地通道和人行天桥及护坡、堡坎等处的户外广告和招牌；城市路灯杆（道旗）广告；公交站台、公交车身和轨道交通户外广告设施；河道、防洪堤安全防护区内的户外广告和招牌。</w:t>
      </w:r>
    </w:p>
    <w:p>
      <w:pPr>
        <w:spacing w:line="520" w:lineRule="exact"/>
        <w:ind w:firstLine="640" w:firstLineChars="200"/>
        <w:textAlignment w:val="baseline"/>
        <w:rPr>
          <w:rFonts w:eastAsia="方正仿宋_GBK"/>
          <w:color w:val="auto"/>
          <w:sz w:val="32"/>
        </w:rPr>
      </w:pPr>
      <w:r>
        <w:rPr>
          <w:rFonts w:eastAsia="方正楷体_GBK"/>
          <w:color w:val="auto"/>
          <w:sz w:val="32"/>
        </w:rPr>
        <w:t>（二）</w:t>
      </w:r>
      <w:r>
        <w:rPr>
          <w:rFonts w:hint="eastAsia" w:eastAsia="方正楷体_GBK"/>
          <w:color w:val="auto"/>
          <w:sz w:val="32"/>
        </w:rPr>
        <w:t>监管</w:t>
      </w:r>
      <w:r>
        <w:rPr>
          <w:rFonts w:eastAsia="方正楷体_GBK"/>
          <w:color w:val="auto"/>
          <w:sz w:val="32"/>
        </w:rPr>
        <w:t>内容。</w:t>
      </w:r>
      <w:r>
        <w:rPr>
          <w:rFonts w:eastAsia="方正仿宋_GBK"/>
          <w:color w:val="auto"/>
          <w:sz w:val="32"/>
        </w:rPr>
        <w:t>户外广告和招牌设施混凝土结构和钢结构设施是否安全，重点排查设施</w:t>
      </w:r>
      <w:r>
        <w:rPr>
          <w:rFonts w:eastAsia="方正仿宋_GBK"/>
          <w:color w:val="auto"/>
          <w:sz w:val="32"/>
          <w:szCs w:val="32"/>
        </w:rPr>
        <w:t>构架连接点</w:t>
      </w:r>
      <w:r>
        <w:rPr>
          <w:rFonts w:eastAsia="方正仿宋_GBK"/>
          <w:color w:val="auto"/>
          <w:sz w:val="32"/>
        </w:rPr>
        <w:t>（主要包括钢、木或复合材料结构的</w:t>
      </w:r>
      <w:r>
        <w:rPr>
          <w:rFonts w:eastAsia="方正仿宋_GBK"/>
          <w:color w:val="auto"/>
          <w:sz w:val="32"/>
          <w:szCs w:val="32"/>
        </w:rPr>
        <w:t>焊缝、螺栓）、支座、锚固点和灯具固定节点</w:t>
      </w:r>
      <w:r>
        <w:rPr>
          <w:rFonts w:eastAsia="方正仿宋_GBK"/>
          <w:color w:val="auto"/>
          <w:sz w:val="32"/>
        </w:rPr>
        <w:t>是否牢固安全；附着于广告和招牌设施的喷绘布、发光字等是否完好，排查喷绘布与字残缺、掉落可能造成的安全隐患；广告招牌用电是否安全，排查照明线路、灯具、电气设备和避雷设施可靠性，以及用电、漏电、雷击可能造成易燃易爆的安全隐患；广告招牌设施位置是否合理（预留安全空间及范围），其坠落、垮塌可能导致的安全影响范围；其他可能存在或造成事故的安全隐患。</w:t>
      </w:r>
    </w:p>
    <w:p>
      <w:pPr>
        <w:pStyle w:val="35"/>
        <w:widowControl w:val="0"/>
        <w:spacing w:before="0" w:beforeAutospacing="0" w:after="0" w:afterAutospacing="0" w:line="520" w:lineRule="exact"/>
        <w:ind w:firstLine="640" w:firstLineChars="200"/>
        <w:jc w:val="both"/>
        <w:rPr>
          <w:rFonts w:ascii="Times New Roman" w:eastAsia="方正黑体_GBK" w:cs="Times New Roman"/>
          <w:sz w:val="32"/>
          <w:szCs w:val="32"/>
        </w:rPr>
      </w:pPr>
      <w:r>
        <w:rPr>
          <w:rFonts w:hint="eastAsia" w:ascii="Times New Roman" w:eastAsia="方正黑体_GBK" w:cs="Times New Roman"/>
          <w:sz w:val="32"/>
          <w:szCs w:val="32"/>
        </w:rPr>
        <w:t>二</w:t>
      </w:r>
      <w:r>
        <w:rPr>
          <w:rFonts w:ascii="Times New Roman" w:eastAsia="方正黑体_GBK" w:cs="Times New Roman"/>
          <w:sz w:val="32"/>
          <w:szCs w:val="32"/>
        </w:rPr>
        <w:t>、</w:t>
      </w:r>
      <w:r>
        <w:rPr>
          <w:rFonts w:hint="eastAsia" w:ascii="Times New Roman" w:eastAsia="方正黑体_GBK" w:cs="Times New Roman"/>
          <w:sz w:val="32"/>
          <w:szCs w:val="32"/>
        </w:rPr>
        <w:t>监管措施</w:t>
      </w:r>
    </w:p>
    <w:p>
      <w:pPr>
        <w:pStyle w:val="35"/>
        <w:widowControl w:val="0"/>
        <w:spacing w:before="0" w:beforeAutospacing="0" w:after="0" w:afterAutospacing="0" w:line="520" w:lineRule="exact"/>
        <w:ind w:firstLine="480" w:firstLineChars="150"/>
        <w:jc w:val="both"/>
        <w:rPr>
          <w:rFonts w:eastAsia="方正仿宋_GBK"/>
          <w:sz w:val="32"/>
        </w:rPr>
      </w:pPr>
      <w:r>
        <w:rPr>
          <w:rFonts w:hint="eastAsia" w:ascii="方正楷体_GBK" w:hAnsi="方正楷体_GBK" w:eastAsia="方正楷体_GBK" w:cs="方正楷体_GBK"/>
          <w:sz w:val="32"/>
        </w:rPr>
        <w:t>（一）高度重视，牵头开展监管。</w:t>
      </w:r>
      <w:r>
        <w:rPr>
          <w:rFonts w:hint="eastAsia" w:eastAsia="方正仿宋_GBK"/>
          <w:sz w:val="32"/>
          <w:szCs w:val="32"/>
        </w:rPr>
        <w:t>各镇街、部门（单位）要高度重视，</w:t>
      </w:r>
      <w:r>
        <w:rPr>
          <w:rFonts w:eastAsia="方正仿宋_GBK"/>
          <w:sz w:val="32"/>
        </w:rPr>
        <w:t>在履行好户外广告和招牌自身主体责任的同时，根据管辖区域以及行业管理职责，牵头开展户外广告和招牌设施安全</w:t>
      </w:r>
      <w:r>
        <w:rPr>
          <w:rFonts w:hint="eastAsia" w:eastAsia="方正仿宋_GBK"/>
          <w:sz w:val="32"/>
        </w:rPr>
        <w:t>监管工作</w:t>
      </w:r>
      <w:r>
        <w:rPr>
          <w:rFonts w:eastAsia="方正仿宋_GBK"/>
          <w:sz w:val="32"/>
        </w:rPr>
        <w:t>，</w:t>
      </w:r>
      <w:r>
        <w:rPr>
          <w:rFonts w:eastAsia="方正仿宋_GBK"/>
          <w:sz w:val="32"/>
          <w:szCs w:val="32"/>
        </w:rPr>
        <w:t>重点是主次干道、重要节点、</w:t>
      </w:r>
      <w:r>
        <w:rPr>
          <w:rFonts w:hint="eastAsia" w:eastAsia="方正仿宋_GBK"/>
          <w:sz w:val="32"/>
          <w:szCs w:val="32"/>
        </w:rPr>
        <w:t>景区景点、</w:t>
      </w:r>
      <w:r>
        <w:rPr>
          <w:rFonts w:eastAsia="方正仿宋_GBK"/>
          <w:sz w:val="32"/>
          <w:szCs w:val="32"/>
        </w:rPr>
        <w:t>公园广场、商圈</w:t>
      </w:r>
      <w:r>
        <w:rPr>
          <w:rFonts w:hint="eastAsia" w:eastAsia="方正仿宋_GBK"/>
          <w:sz w:val="32"/>
          <w:szCs w:val="32"/>
        </w:rPr>
        <w:t>商街</w:t>
      </w:r>
      <w:r>
        <w:rPr>
          <w:rFonts w:eastAsia="方正仿宋_GBK"/>
          <w:sz w:val="32"/>
          <w:szCs w:val="32"/>
        </w:rPr>
        <w:t>、物业小区、工地、体育场、码头、公交站</w:t>
      </w:r>
      <w:r>
        <w:rPr>
          <w:rFonts w:hint="eastAsia" w:eastAsia="方正仿宋_GBK"/>
          <w:sz w:val="32"/>
          <w:szCs w:val="32"/>
        </w:rPr>
        <w:t>场</w:t>
      </w:r>
      <w:r>
        <w:rPr>
          <w:rFonts w:eastAsia="方正仿宋_GBK"/>
          <w:sz w:val="32"/>
          <w:szCs w:val="32"/>
        </w:rPr>
        <w:t>等区域的户外广告和招牌设施（含楼顶招牌）。</w:t>
      </w:r>
    </w:p>
    <w:p>
      <w:pPr>
        <w:spacing w:line="520" w:lineRule="exact"/>
        <w:ind w:firstLine="640" w:firstLineChars="200"/>
        <w:textAlignment w:val="baseline"/>
        <w:rPr>
          <w:rFonts w:eastAsia="方正仿宋_GBK"/>
          <w:color w:val="auto"/>
          <w:sz w:val="32"/>
        </w:rPr>
      </w:pPr>
      <w:r>
        <w:rPr>
          <w:rFonts w:hint="eastAsia" w:ascii="方正楷体_GBK" w:hAnsi="方正楷体_GBK" w:eastAsia="方正楷体_GBK" w:cs="方正楷体_GBK"/>
          <w:color w:val="auto"/>
          <w:kern w:val="0"/>
          <w:sz w:val="32"/>
        </w:rPr>
        <w:t>（二）分行业分区域开展监管。</w:t>
      </w:r>
      <w:r>
        <w:rPr>
          <w:rFonts w:hint="eastAsia" w:eastAsia="方正仿宋_GBK"/>
          <w:color w:val="auto"/>
          <w:sz w:val="32"/>
          <w:szCs w:val="32"/>
        </w:rPr>
        <w:t>各镇街、部门（单位）</w:t>
      </w:r>
      <w:r>
        <w:rPr>
          <w:rFonts w:eastAsia="方正仿宋_GBK"/>
          <w:color w:val="auto"/>
          <w:sz w:val="32"/>
        </w:rPr>
        <w:t>要将户外广告和招牌设施安全隐患排查整改</w:t>
      </w:r>
      <w:r>
        <w:rPr>
          <w:rFonts w:hint="eastAsia" w:eastAsia="方正仿宋_GBK"/>
          <w:color w:val="auto"/>
          <w:sz w:val="32"/>
        </w:rPr>
        <w:t>作为常态化安全监管</w:t>
      </w:r>
      <w:r>
        <w:rPr>
          <w:rFonts w:eastAsia="方正仿宋_GBK"/>
          <w:color w:val="auto"/>
          <w:sz w:val="32"/>
        </w:rPr>
        <w:t>的重要内容，</w:t>
      </w:r>
      <w:r>
        <w:rPr>
          <w:rFonts w:hint="eastAsia" w:eastAsia="方正仿宋_GBK"/>
          <w:color w:val="auto"/>
          <w:sz w:val="32"/>
        </w:rPr>
        <w:t>一是</w:t>
      </w:r>
      <w:r>
        <w:rPr>
          <w:rFonts w:eastAsia="方正仿宋_GBK"/>
          <w:color w:val="auto"/>
          <w:sz w:val="32"/>
        </w:rPr>
        <w:t>督促</w:t>
      </w:r>
      <w:r>
        <w:rPr>
          <w:rFonts w:hint="eastAsia" w:eastAsia="方正仿宋_GBK"/>
          <w:color w:val="auto"/>
          <w:sz w:val="32"/>
        </w:rPr>
        <w:t>所属行业或下属单位（企业）对自身物权范围内设置</w:t>
      </w:r>
      <w:r>
        <w:rPr>
          <w:rFonts w:eastAsia="方正仿宋_GBK"/>
          <w:color w:val="auto"/>
          <w:sz w:val="32"/>
        </w:rPr>
        <w:t>户外广告和招牌</w:t>
      </w:r>
      <w:r>
        <w:rPr>
          <w:rFonts w:hint="eastAsia" w:eastAsia="方正仿宋_GBK"/>
          <w:color w:val="auto"/>
          <w:sz w:val="32"/>
        </w:rPr>
        <w:t>加强安全监管；二是督促</w:t>
      </w:r>
      <w:r>
        <w:rPr>
          <w:rFonts w:eastAsia="方正仿宋_GBK"/>
          <w:color w:val="auto"/>
          <w:sz w:val="32"/>
        </w:rPr>
        <w:t>辖</w:t>
      </w:r>
      <w:r>
        <w:rPr>
          <w:rFonts w:hint="eastAsia" w:eastAsia="方正仿宋_GBK"/>
          <w:color w:val="auto"/>
          <w:sz w:val="32"/>
        </w:rPr>
        <w:t>区内户外广告和招牌设置者或使用者的单位（企业）或个体商户，对设置或使用的户外广告和招牌加强安全监管。</w:t>
      </w:r>
    </w:p>
    <w:p>
      <w:pPr>
        <w:spacing w:line="520" w:lineRule="exact"/>
        <w:ind w:firstLine="640" w:firstLineChars="200"/>
        <w:textAlignment w:val="baseline"/>
        <w:rPr>
          <w:rFonts w:eastAsia="方正仿宋_GBK"/>
          <w:color w:val="auto"/>
          <w:sz w:val="32"/>
        </w:rPr>
      </w:pPr>
      <w:r>
        <w:rPr>
          <w:rFonts w:hint="eastAsia" w:ascii="方正楷体_GBK" w:hAnsi="方正楷体_GBK" w:eastAsia="方正楷体_GBK" w:cs="方正楷体_GBK"/>
          <w:color w:val="auto"/>
          <w:kern w:val="0"/>
          <w:sz w:val="32"/>
        </w:rPr>
        <w:t>（三）按要求开展监管。</w:t>
      </w:r>
      <w:r>
        <w:rPr>
          <w:rFonts w:hint="eastAsia" w:eastAsia="方正仿宋_GBK"/>
          <w:color w:val="auto"/>
          <w:sz w:val="32"/>
          <w:szCs w:val="32"/>
        </w:rPr>
        <w:t>各镇街、部门（单位）</w:t>
      </w:r>
      <w:r>
        <w:rPr>
          <w:rFonts w:eastAsia="方正仿宋_GBK"/>
          <w:color w:val="auto"/>
          <w:sz w:val="32"/>
        </w:rPr>
        <w:t>要</w:t>
      </w:r>
      <w:r>
        <w:rPr>
          <w:rFonts w:hint="eastAsia" w:eastAsia="方正仿宋_GBK"/>
          <w:color w:val="auto"/>
          <w:sz w:val="32"/>
        </w:rPr>
        <w:t>督促相关单位（企业），一是</w:t>
      </w:r>
      <w:r>
        <w:rPr>
          <w:rFonts w:eastAsia="方正仿宋_GBK"/>
          <w:color w:val="auto"/>
          <w:sz w:val="32"/>
        </w:rPr>
        <w:t>严格履行主体责任</w:t>
      </w:r>
      <w:r>
        <w:rPr>
          <w:rFonts w:hint="eastAsia" w:eastAsia="方正仿宋_GBK"/>
          <w:color w:val="auto"/>
          <w:sz w:val="32"/>
        </w:rPr>
        <w:t>（主体是指户外广告和招牌设置点位的物权所有者、户外广告和招牌的设置者或使用者）</w:t>
      </w:r>
      <w:r>
        <w:rPr>
          <w:rFonts w:eastAsia="方正仿宋_GBK"/>
          <w:color w:val="auto"/>
          <w:sz w:val="32"/>
        </w:rPr>
        <w:t>，按照《户外广告设置规范</w:t>
      </w:r>
      <w:r>
        <w:rPr>
          <w:rFonts w:hint="eastAsia" w:eastAsia="方正仿宋_GBK"/>
          <w:color w:val="auto"/>
          <w:sz w:val="32"/>
        </w:rPr>
        <w:t>CG 028—2019</w:t>
      </w:r>
      <w:r>
        <w:rPr>
          <w:rFonts w:eastAsia="方正仿宋_GBK"/>
          <w:color w:val="auto"/>
          <w:sz w:val="32"/>
        </w:rPr>
        <w:t>》</w:t>
      </w:r>
      <w:r>
        <w:rPr>
          <w:rFonts w:hint="eastAsia" w:eastAsia="方正仿宋_GBK"/>
          <w:color w:val="auto"/>
          <w:sz w:val="32"/>
        </w:rPr>
        <w:t>以及《重庆市户外招牌设置规范</w:t>
      </w:r>
      <w:r>
        <w:rPr>
          <w:rFonts w:eastAsia="方正仿宋_GBK"/>
          <w:color w:val="auto"/>
          <w:sz w:val="32"/>
        </w:rPr>
        <w:t>》等规定，</w:t>
      </w:r>
      <w:r>
        <w:rPr>
          <w:rFonts w:hint="eastAsia" w:eastAsia="方正仿宋_GBK"/>
          <w:color w:val="auto"/>
          <w:sz w:val="32"/>
        </w:rPr>
        <w:t>开展</w:t>
      </w:r>
      <w:r>
        <w:rPr>
          <w:rFonts w:eastAsia="方正仿宋_GBK"/>
          <w:color w:val="auto"/>
          <w:sz w:val="32"/>
        </w:rPr>
        <w:t>日常检查，</w:t>
      </w:r>
      <w:r>
        <w:rPr>
          <w:rFonts w:hint="eastAsia" w:eastAsia="方正仿宋_GBK"/>
          <w:color w:val="auto"/>
          <w:sz w:val="32"/>
        </w:rPr>
        <w:t>做好</w:t>
      </w:r>
      <w:r>
        <w:rPr>
          <w:rFonts w:eastAsia="方正仿宋_GBK"/>
          <w:color w:val="auto"/>
          <w:sz w:val="32"/>
        </w:rPr>
        <w:t>户外广告和招牌设施</w:t>
      </w:r>
      <w:r>
        <w:rPr>
          <w:rFonts w:hint="eastAsia" w:eastAsia="方正仿宋_GBK"/>
          <w:color w:val="auto"/>
          <w:sz w:val="32"/>
        </w:rPr>
        <w:t>的</w:t>
      </w:r>
      <w:r>
        <w:rPr>
          <w:rFonts w:eastAsia="方正仿宋_GBK"/>
          <w:color w:val="auto"/>
          <w:sz w:val="32"/>
        </w:rPr>
        <w:t>维护管理</w:t>
      </w:r>
      <w:r>
        <w:rPr>
          <w:rFonts w:hint="eastAsia" w:eastAsia="方正仿宋_GBK"/>
          <w:color w:val="auto"/>
          <w:sz w:val="32"/>
        </w:rPr>
        <w:t>工作</w:t>
      </w:r>
      <w:r>
        <w:rPr>
          <w:rFonts w:eastAsia="方正仿宋_GBK"/>
          <w:color w:val="auto"/>
          <w:sz w:val="32"/>
        </w:rPr>
        <w:t>，确保设施安全、完好</w:t>
      </w:r>
      <w:r>
        <w:rPr>
          <w:rFonts w:hint="eastAsia" w:eastAsia="方正仿宋_GBK"/>
          <w:color w:val="auto"/>
          <w:sz w:val="32"/>
        </w:rPr>
        <w:t>；二是</w:t>
      </w:r>
      <w:r>
        <w:rPr>
          <w:rFonts w:eastAsia="方正仿宋_GBK"/>
          <w:color w:val="auto"/>
          <w:sz w:val="32"/>
          <w:szCs w:val="32"/>
        </w:rPr>
        <w:t>落实酷暑、暴雨、大风、雷击、漏电等条件下的户外广告设施安全防护措施</w:t>
      </w:r>
      <w:r>
        <w:rPr>
          <w:rFonts w:hint="eastAsia" w:eastAsia="方正仿宋_GBK"/>
          <w:color w:val="auto"/>
          <w:sz w:val="32"/>
          <w:szCs w:val="32"/>
        </w:rPr>
        <w:t>；三是</w:t>
      </w:r>
      <w:r>
        <w:rPr>
          <w:rFonts w:eastAsia="方正仿宋_GBK"/>
          <w:color w:val="auto"/>
          <w:sz w:val="32"/>
        </w:rPr>
        <w:t>对检查发现的户外广告和招牌设施破损、变形和构件锈蚀、油漆脱落、龟裂、风化、连接点老化、面板松垮及电气等各类安全问题，要及时按照国家和我市有关技术规范和标准，采取有效措施进行整改，及时维护加固、整改修复，</w:t>
      </w:r>
      <w:r>
        <w:rPr>
          <w:rFonts w:eastAsia="方正仿宋_GBK"/>
          <w:color w:val="auto"/>
          <w:sz w:val="32"/>
          <w:szCs w:val="32"/>
        </w:rPr>
        <w:t>确保户外广告设施结构安全牢固、功能齐全、完好无损。</w:t>
      </w:r>
      <w:r>
        <w:rPr>
          <w:rFonts w:eastAsia="方正仿宋_GBK"/>
          <w:color w:val="auto"/>
          <w:sz w:val="32"/>
        </w:rPr>
        <w:t>对拒不整改或整改达不到要求的要依法依规严肃查处并拆除，避免因广告招牌设施垮塌、掉落及漏电等造成人员伤亡和财产损失。</w:t>
      </w:r>
    </w:p>
    <w:p>
      <w:pPr>
        <w:spacing w:line="520" w:lineRule="exact"/>
        <w:ind w:firstLine="645"/>
        <w:rPr>
          <w:rFonts w:eastAsia="方正黑体_GBK"/>
          <w:color w:val="auto"/>
          <w:sz w:val="32"/>
          <w:szCs w:val="32"/>
        </w:rPr>
      </w:pPr>
      <w:r>
        <w:rPr>
          <w:rFonts w:hint="eastAsia" w:eastAsia="方正黑体_GBK"/>
          <w:color w:val="auto"/>
          <w:sz w:val="32"/>
          <w:szCs w:val="32"/>
        </w:rPr>
        <w:t>三</w:t>
      </w:r>
      <w:r>
        <w:rPr>
          <w:rFonts w:eastAsia="方正黑体_GBK"/>
          <w:color w:val="auto"/>
          <w:sz w:val="32"/>
          <w:szCs w:val="32"/>
        </w:rPr>
        <w:t>、强化宣传引导</w:t>
      </w:r>
    </w:p>
    <w:p>
      <w:pPr>
        <w:spacing w:line="520" w:lineRule="exact"/>
        <w:ind w:firstLine="640" w:firstLineChars="200"/>
        <w:jc w:val="left"/>
        <w:rPr>
          <w:rFonts w:eastAsia="方正仿宋_GBK"/>
          <w:color w:val="auto"/>
          <w:sz w:val="32"/>
        </w:rPr>
      </w:pPr>
      <w:r>
        <w:rPr>
          <w:rFonts w:hint="eastAsia" w:eastAsia="方正仿宋_GBK"/>
          <w:color w:val="auto"/>
          <w:sz w:val="32"/>
          <w:szCs w:val="32"/>
        </w:rPr>
        <w:t>各镇街、部门（单位）</w:t>
      </w:r>
      <w:r>
        <w:rPr>
          <w:rFonts w:eastAsia="方正仿宋_GBK"/>
          <w:color w:val="auto"/>
          <w:sz w:val="32"/>
        </w:rPr>
        <w:t>要</w:t>
      </w:r>
      <w:r>
        <w:rPr>
          <w:rFonts w:hint="eastAsia" w:eastAsia="方正仿宋_GBK"/>
          <w:color w:val="auto"/>
          <w:sz w:val="32"/>
        </w:rPr>
        <w:t>加强对设置户外广告和招牌的物权所有者、设置者或使用者等安全警示教育工作，通过</w:t>
      </w:r>
      <w:r>
        <w:rPr>
          <w:rFonts w:eastAsia="方正仿宋_GBK"/>
          <w:color w:val="auto"/>
          <w:sz w:val="32"/>
        </w:rPr>
        <w:t>发放</w:t>
      </w:r>
      <w:r>
        <w:rPr>
          <w:rFonts w:hint="eastAsia" w:eastAsia="方正仿宋_GBK"/>
          <w:color w:val="auto"/>
          <w:sz w:val="32"/>
        </w:rPr>
        <w:t>、张贴或在</w:t>
      </w:r>
      <w:r>
        <w:rPr>
          <w:rFonts w:eastAsia="方正仿宋_GBK"/>
          <w:color w:val="auto"/>
          <w:sz w:val="32"/>
        </w:rPr>
        <w:t>自媒体</w:t>
      </w:r>
      <w:r>
        <w:rPr>
          <w:rFonts w:hint="eastAsia" w:eastAsia="方正仿宋_GBK"/>
          <w:color w:val="auto"/>
          <w:sz w:val="32"/>
        </w:rPr>
        <w:t>上宣传</w:t>
      </w:r>
      <w:r>
        <w:rPr>
          <w:rFonts w:eastAsia="方正仿宋_GBK"/>
          <w:color w:val="auto"/>
          <w:sz w:val="32"/>
        </w:rPr>
        <w:t>《户外广告和招牌设施安全设置告知书》（以下简称告知书，见附件1）</w:t>
      </w:r>
      <w:r>
        <w:rPr>
          <w:rFonts w:hint="eastAsia" w:eastAsia="方正仿宋_GBK"/>
          <w:color w:val="auto"/>
          <w:sz w:val="32"/>
        </w:rPr>
        <w:t>等方式，</w:t>
      </w:r>
      <w:r>
        <w:rPr>
          <w:rFonts w:eastAsia="方正仿宋_GBK"/>
          <w:color w:val="auto"/>
          <w:sz w:val="32"/>
        </w:rPr>
        <w:t>宣传引导</w:t>
      </w:r>
      <w:r>
        <w:rPr>
          <w:rFonts w:hint="eastAsia" w:eastAsia="方正仿宋_GBK"/>
          <w:color w:val="auto"/>
          <w:sz w:val="32"/>
        </w:rPr>
        <w:t>单位（企业）以及个体商户</w:t>
      </w:r>
      <w:r>
        <w:rPr>
          <w:rFonts w:eastAsia="方正仿宋_GBK"/>
          <w:color w:val="auto"/>
          <w:sz w:val="32"/>
        </w:rPr>
        <w:t>认真履行</w:t>
      </w:r>
      <w:r>
        <w:rPr>
          <w:rFonts w:hint="eastAsia" w:eastAsia="方正仿宋_GBK"/>
          <w:color w:val="auto"/>
          <w:sz w:val="32"/>
        </w:rPr>
        <w:t>户外</w:t>
      </w:r>
      <w:r>
        <w:rPr>
          <w:rFonts w:eastAsia="方正仿宋_GBK"/>
          <w:color w:val="auto"/>
          <w:sz w:val="32"/>
        </w:rPr>
        <w:t>广告</w:t>
      </w:r>
      <w:r>
        <w:rPr>
          <w:rFonts w:hint="eastAsia" w:eastAsia="方正仿宋_GBK"/>
          <w:color w:val="auto"/>
          <w:sz w:val="32"/>
        </w:rPr>
        <w:t>和招牌</w:t>
      </w:r>
      <w:r>
        <w:rPr>
          <w:rFonts w:eastAsia="方正仿宋_GBK"/>
          <w:color w:val="auto"/>
          <w:sz w:val="32"/>
        </w:rPr>
        <w:t>设置安全管理责任，对所属的户外广告和招牌设施进行安全自查</w:t>
      </w:r>
      <w:r>
        <w:rPr>
          <w:rFonts w:hint="eastAsia" w:eastAsia="方正仿宋_GBK"/>
          <w:color w:val="auto"/>
          <w:sz w:val="32"/>
        </w:rPr>
        <w:t>，营造全民参与、全民知晓、全民监督的良好氛围。</w:t>
      </w:r>
    </w:p>
    <w:p>
      <w:pPr>
        <w:spacing w:line="520" w:lineRule="exact"/>
        <w:ind w:firstLine="640" w:firstLineChars="200"/>
        <w:jc w:val="left"/>
        <w:rPr>
          <w:rFonts w:eastAsia="方正黑体_GBK"/>
          <w:color w:val="auto"/>
          <w:sz w:val="32"/>
          <w:szCs w:val="32"/>
        </w:rPr>
      </w:pPr>
      <w:r>
        <w:rPr>
          <w:rFonts w:hint="eastAsia" w:eastAsia="方正黑体_GBK"/>
          <w:color w:val="auto"/>
          <w:sz w:val="32"/>
          <w:szCs w:val="32"/>
        </w:rPr>
        <w:t>四</w:t>
      </w:r>
      <w:r>
        <w:rPr>
          <w:rFonts w:eastAsia="方正黑体_GBK"/>
          <w:color w:val="auto"/>
          <w:sz w:val="32"/>
          <w:szCs w:val="32"/>
        </w:rPr>
        <w:t>、</w:t>
      </w:r>
      <w:r>
        <w:rPr>
          <w:rFonts w:hint="eastAsia" w:eastAsia="方正黑体_GBK"/>
          <w:color w:val="auto"/>
          <w:sz w:val="32"/>
          <w:szCs w:val="32"/>
        </w:rPr>
        <w:t>工作要求</w:t>
      </w:r>
    </w:p>
    <w:p>
      <w:pPr>
        <w:spacing w:line="520" w:lineRule="exact"/>
        <w:ind w:firstLine="640" w:firstLineChars="200"/>
        <w:jc w:val="left"/>
        <w:rPr>
          <w:rFonts w:eastAsia="方正仿宋_GBK"/>
          <w:color w:val="auto"/>
          <w:sz w:val="32"/>
        </w:rPr>
      </w:pPr>
      <w:r>
        <w:rPr>
          <w:rFonts w:hint="eastAsia" w:ascii="方正楷体_GBK" w:eastAsia="方正楷体_GBK"/>
          <w:color w:val="auto"/>
          <w:sz w:val="32"/>
        </w:rPr>
        <w:t>（一）</w:t>
      </w:r>
      <w:r>
        <w:rPr>
          <w:rFonts w:eastAsia="方正仿宋_GBK"/>
          <w:color w:val="auto"/>
          <w:sz w:val="32"/>
        </w:rPr>
        <w:t>请23个镇街于每月2</w:t>
      </w:r>
      <w:r>
        <w:rPr>
          <w:rFonts w:hint="eastAsia" w:eastAsia="方正仿宋_GBK"/>
          <w:color w:val="auto"/>
          <w:sz w:val="32"/>
        </w:rPr>
        <w:t>5</w:t>
      </w:r>
      <w:r>
        <w:rPr>
          <w:rFonts w:eastAsia="方正仿宋_GBK"/>
          <w:color w:val="auto"/>
          <w:sz w:val="32"/>
        </w:rPr>
        <w:t>日前将本镇街实施户外广告和招牌设施安全监管</w:t>
      </w:r>
      <w:r>
        <w:rPr>
          <w:rFonts w:hint="eastAsia" w:eastAsia="方正仿宋_GBK"/>
          <w:color w:val="auto"/>
          <w:sz w:val="32"/>
        </w:rPr>
        <w:t>工作</w:t>
      </w:r>
      <w:r>
        <w:rPr>
          <w:rFonts w:eastAsia="方正仿宋_GBK"/>
          <w:color w:val="auto"/>
          <w:sz w:val="32"/>
        </w:rPr>
        <w:t>有关情况，以月报表（见附件2）</w:t>
      </w:r>
      <w:r>
        <w:rPr>
          <w:rFonts w:eastAsia="方正仿宋_GBK"/>
          <w:color w:val="auto"/>
          <w:sz w:val="32"/>
          <w:szCs w:val="32"/>
        </w:rPr>
        <w:t>及照片</w:t>
      </w:r>
      <w:r>
        <w:rPr>
          <w:rFonts w:hint="eastAsia" w:eastAsia="方正仿宋_GBK"/>
          <w:color w:val="auto"/>
          <w:sz w:val="32"/>
          <w:szCs w:val="32"/>
        </w:rPr>
        <w:t>（领导</w:t>
      </w:r>
      <w:r>
        <w:rPr>
          <w:rFonts w:eastAsia="方正仿宋_GBK"/>
          <w:color w:val="auto"/>
          <w:sz w:val="32"/>
          <w:szCs w:val="32"/>
        </w:rPr>
        <w:t>马路办公</w:t>
      </w:r>
      <w:r>
        <w:rPr>
          <w:rFonts w:hint="eastAsia" w:eastAsia="方正仿宋_GBK"/>
          <w:color w:val="auto"/>
          <w:sz w:val="32"/>
          <w:szCs w:val="32"/>
        </w:rPr>
        <w:t>、现场整改图片等</w:t>
      </w:r>
      <w:r>
        <w:rPr>
          <w:rFonts w:eastAsia="方正仿宋_GBK"/>
          <w:color w:val="auto"/>
          <w:sz w:val="32"/>
          <w:szCs w:val="32"/>
        </w:rPr>
        <w:t>2-3张</w:t>
      </w:r>
      <w:r>
        <w:rPr>
          <w:rFonts w:hint="eastAsia" w:eastAsia="方正仿宋_GBK"/>
          <w:color w:val="auto"/>
          <w:sz w:val="32"/>
          <w:szCs w:val="32"/>
        </w:rPr>
        <w:t>）的形式报区城综办</w:t>
      </w:r>
      <w:r>
        <w:rPr>
          <w:rFonts w:eastAsia="方正仿宋_GBK"/>
          <w:color w:val="auto"/>
          <w:sz w:val="32"/>
          <w:szCs w:val="32"/>
        </w:rPr>
        <w:t>，</w:t>
      </w:r>
      <w:r>
        <w:rPr>
          <w:rFonts w:hint="eastAsia" w:eastAsia="方正仿宋_GBK"/>
          <w:color w:val="auto"/>
          <w:sz w:val="32"/>
          <w:szCs w:val="32"/>
        </w:rPr>
        <w:t>月报表需报领导签字盖章扫描件及电子档。</w:t>
      </w:r>
      <w:r>
        <w:rPr>
          <w:rFonts w:eastAsia="方正仿宋_GBK"/>
          <w:color w:val="auto"/>
          <w:sz w:val="32"/>
          <w:szCs w:val="32"/>
        </w:rPr>
        <w:t>户外广告和招牌设施安全监管和排查整治情况，</w:t>
      </w:r>
      <w:r>
        <w:rPr>
          <w:rFonts w:hint="eastAsia" w:eastAsia="方正仿宋_GBK"/>
          <w:color w:val="auto"/>
          <w:sz w:val="32"/>
          <w:szCs w:val="32"/>
        </w:rPr>
        <w:t>将</w:t>
      </w:r>
      <w:r>
        <w:rPr>
          <w:rFonts w:eastAsia="方正仿宋_GBK"/>
          <w:color w:val="auto"/>
          <w:sz w:val="32"/>
          <w:szCs w:val="32"/>
        </w:rPr>
        <w:t>纳入</w:t>
      </w:r>
      <w:r>
        <w:rPr>
          <w:rFonts w:hint="eastAsia" w:eastAsia="方正仿宋_GBK"/>
          <w:color w:val="auto"/>
          <w:sz w:val="32"/>
          <w:szCs w:val="32"/>
        </w:rPr>
        <w:t>每月对镇街的</w:t>
      </w:r>
      <w:r>
        <w:rPr>
          <w:rFonts w:eastAsia="方正仿宋_GBK"/>
          <w:color w:val="auto"/>
          <w:sz w:val="32"/>
          <w:szCs w:val="32"/>
        </w:rPr>
        <w:t>城</w:t>
      </w:r>
      <w:r>
        <w:rPr>
          <w:rFonts w:hint="eastAsia" w:eastAsia="方正仿宋_GBK"/>
          <w:color w:val="auto"/>
          <w:sz w:val="32"/>
          <w:szCs w:val="32"/>
        </w:rPr>
        <w:t>乡环境</w:t>
      </w:r>
      <w:r>
        <w:rPr>
          <w:rFonts w:eastAsia="方正仿宋_GBK"/>
          <w:color w:val="auto"/>
          <w:sz w:val="32"/>
          <w:szCs w:val="32"/>
        </w:rPr>
        <w:t>考核。</w:t>
      </w:r>
    </w:p>
    <w:p>
      <w:pPr>
        <w:spacing w:line="520" w:lineRule="exact"/>
        <w:ind w:firstLine="640" w:firstLineChars="200"/>
        <w:jc w:val="left"/>
        <w:rPr>
          <w:rFonts w:eastAsia="方正仿宋_GBK"/>
          <w:color w:val="auto"/>
          <w:sz w:val="32"/>
          <w:szCs w:val="32"/>
        </w:rPr>
      </w:pPr>
      <w:r>
        <w:rPr>
          <w:rFonts w:hint="eastAsia" w:ascii="方正楷体_GBK" w:eastAsia="方正楷体_GBK"/>
          <w:color w:val="auto"/>
          <w:sz w:val="32"/>
          <w:szCs w:val="32"/>
        </w:rPr>
        <w:t>（二）</w:t>
      </w:r>
      <w:r>
        <w:rPr>
          <w:rFonts w:eastAsia="方正仿宋_GBK"/>
          <w:color w:val="auto"/>
          <w:sz w:val="32"/>
        </w:rPr>
        <w:t>报送途径：</w:t>
      </w:r>
      <w:r>
        <w:rPr>
          <w:rFonts w:eastAsia="方正仿宋_GBK"/>
          <w:color w:val="auto"/>
          <w:sz w:val="32"/>
          <w:szCs w:val="32"/>
        </w:rPr>
        <w:t>党政网传区政府部门-区城市管理局-市容环卫科</w:t>
      </w:r>
      <w:r>
        <w:rPr>
          <w:rFonts w:eastAsia="方正仿宋_GBK"/>
          <w:color w:val="auto"/>
          <w:sz w:val="32"/>
        </w:rPr>
        <w:t>。</w:t>
      </w:r>
    </w:p>
    <w:p>
      <w:pPr>
        <w:spacing w:line="520" w:lineRule="exact"/>
        <w:ind w:firstLine="640" w:firstLineChars="200"/>
        <w:jc w:val="center"/>
        <w:rPr>
          <w:rFonts w:eastAsia="方正仿宋_GBK"/>
          <w:color w:val="auto"/>
          <w:sz w:val="32"/>
          <w:szCs w:val="32"/>
        </w:rPr>
      </w:pPr>
    </w:p>
    <w:p>
      <w:pPr>
        <w:spacing w:line="520" w:lineRule="exact"/>
        <w:ind w:firstLine="640" w:firstLineChars="200"/>
        <w:jc w:val="left"/>
        <w:rPr>
          <w:rFonts w:eastAsia="方正仿宋_GBK"/>
          <w:color w:val="auto"/>
          <w:sz w:val="32"/>
        </w:rPr>
      </w:pPr>
      <w:r>
        <w:rPr>
          <w:rFonts w:eastAsia="方正仿宋_GBK"/>
          <w:color w:val="auto"/>
          <w:sz w:val="32"/>
          <w:szCs w:val="32"/>
        </w:rPr>
        <w:t>附件：1.</w:t>
      </w:r>
      <w:r>
        <w:rPr>
          <w:rFonts w:eastAsia="方正仿宋_GBK"/>
          <w:color w:val="auto"/>
          <w:sz w:val="32"/>
        </w:rPr>
        <w:t>户外广告和招牌设施安全设置告知书</w:t>
      </w:r>
      <w:r>
        <w:rPr>
          <w:rFonts w:hint="eastAsia" w:eastAsia="方正仿宋_GBK"/>
          <w:color w:val="auto"/>
          <w:sz w:val="32"/>
        </w:rPr>
        <w:t>（模板）</w:t>
      </w:r>
    </w:p>
    <w:p>
      <w:pPr>
        <w:spacing w:line="520" w:lineRule="exact"/>
        <w:ind w:firstLine="1600" w:firstLineChars="500"/>
        <w:jc w:val="left"/>
        <w:rPr>
          <w:rFonts w:eastAsia="方正仿宋_GBK"/>
          <w:color w:val="auto"/>
          <w:sz w:val="32"/>
        </w:rPr>
      </w:pPr>
      <w:r>
        <w:rPr>
          <w:rFonts w:eastAsia="方正仿宋_GBK"/>
          <w:color w:val="auto"/>
          <w:sz w:val="32"/>
          <w:szCs w:val="32"/>
        </w:rPr>
        <w:t>2.</w:t>
      </w:r>
      <w:r>
        <w:rPr>
          <w:rFonts w:hint="eastAsia" w:eastAsia="方正仿宋_GBK"/>
          <w:color w:val="auto"/>
          <w:sz w:val="32"/>
          <w:szCs w:val="32"/>
        </w:rPr>
        <w:t>巴南区户外广告和招牌设施安全监管工作开展</w:t>
      </w:r>
    </w:p>
    <w:p>
      <w:pPr>
        <w:spacing w:line="520" w:lineRule="exact"/>
        <w:ind w:firstLine="1600" w:firstLineChars="500"/>
        <w:jc w:val="left"/>
        <w:rPr>
          <w:rFonts w:eastAsia="方正仿宋_GBK"/>
          <w:color w:val="auto"/>
          <w:sz w:val="32"/>
          <w:szCs w:val="32"/>
        </w:rPr>
      </w:pPr>
      <w:r>
        <w:rPr>
          <w:rFonts w:hint="eastAsia" w:eastAsia="方正仿宋_GBK"/>
          <w:color w:val="auto"/>
          <w:sz w:val="32"/>
          <w:szCs w:val="32"/>
        </w:rPr>
        <w:t>情况月报表</w:t>
      </w:r>
    </w:p>
    <w:p>
      <w:pPr>
        <w:pStyle w:val="2"/>
        <w:spacing w:line="520" w:lineRule="exact"/>
        <w:rPr>
          <w:rFonts w:hint="default"/>
        </w:rPr>
      </w:pPr>
      <w:r>
        <w:t xml:space="preserve">            </w:t>
      </w:r>
      <w:r>
        <w:rPr>
          <w:rFonts w:ascii="Times New Roman" w:hAnsi="Times New Roman" w:eastAsia="方正仿宋_GBK"/>
          <w:color w:val="auto"/>
          <w:kern w:val="2"/>
          <w:sz w:val="32"/>
          <w:szCs w:val="32"/>
        </w:rPr>
        <w:t xml:space="preserve"> 3.重庆市城市管理标准户外广告设置规范</w:t>
      </w:r>
    </w:p>
    <w:p>
      <w:pPr>
        <w:spacing w:line="520" w:lineRule="exact"/>
        <w:ind w:firstLine="640" w:firstLineChars="200"/>
        <w:rPr>
          <w:rFonts w:eastAsia="方正仿宋_GBK"/>
          <w:color w:val="auto"/>
          <w:sz w:val="32"/>
          <w:szCs w:val="32"/>
        </w:rPr>
      </w:pPr>
      <w:r>
        <w:rPr>
          <w:rFonts w:hint="eastAsia" w:eastAsia="方正仿宋_GBK"/>
          <w:color w:val="auto"/>
          <w:sz w:val="32"/>
          <w:szCs w:val="32"/>
        </w:rPr>
        <w:t xml:space="preserve">      4.</w:t>
      </w:r>
      <w:r>
        <w:rPr>
          <w:rFonts w:hint="eastAsia"/>
        </w:rPr>
        <w:t xml:space="preserve"> </w:t>
      </w:r>
      <w:r>
        <w:rPr>
          <w:rFonts w:hint="eastAsia" w:eastAsia="方正仿宋_GBK"/>
          <w:color w:val="auto"/>
          <w:sz w:val="32"/>
          <w:szCs w:val="32"/>
        </w:rPr>
        <w:t>重庆市</w:t>
      </w:r>
      <w:r>
        <w:rPr>
          <w:rFonts w:eastAsia="方正仿宋_GBK"/>
          <w:color w:val="auto"/>
          <w:sz w:val="32"/>
          <w:szCs w:val="32"/>
        </w:rPr>
        <w:t>城市管理标准</w:t>
      </w:r>
      <w:r>
        <w:rPr>
          <w:rFonts w:hint="eastAsia" w:eastAsia="方正仿宋_GBK"/>
          <w:color w:val="auto"/>
          <w:sz w:val="32"/>
          <w:szCs w:val="32"/>
        </w:rPr>
        <w:t>户外招牌设置规范</w:t>
      </w:r>
    </w:p>
    <w:p>
      <w:pPr>
        <w:spacing w:line="520" w:lineRule="exact"/>
        <w:ind w:firstLine="640" w:firstLineChars="200"/>
        <w:jc w:val="center"/>
        <w:rPr>
          <w:rFonts w:eastAsia="方正仿宋_GBK"/>
          <w:color w:val="auto"/>
          <w:sz w:val="32"/>
          <w:szCs w:val="32"/>
        </w:rPr>
      </w:pPr>
    </w:p>
    <w:p>
      <w:pPr>
        <w:pStyle w:val="2"/>
        <w:jc w:val="center"/>
        <w:rPr>
          <w:rFonts w:hint="default"/>
        </w:rPr>
      </w:pPr>
    </w:p>
    <w:p>
      <w:pPr>
        <w:pStyle w:val="2"/>
        <w:jc w:val="center"/>
        <w:rPr>
          <w:rFonts w:hint="default"/>
        </w:rPr>
      </w:pPr>
    </w:p>
    <w:p>
      <w:pPr>
        <w:spacing w:line="520" w:lineRule="exact"/>
        <w:jc w:val="center"/>
        <w:rPr>
          <w:rFonts w:eastAsia="方正仿宋_GBK"/>
          <w:color w:val="auto"/>
          <w:sz w:val="32"/>
          <w:szCs w:val="32"/>
        </w:rPr>
      </w:pPr>
      <w:r>
        <w:rPr>
          <w:rFonts w:eastAsia="方正仿宋_GBK"/>
          <w:color w:val="auto"/>
          <w:sz w:val="32"/>
          <w:szCs w:val="32"/>
        </w:rPr>
        <w:t xml:space="preserve">             重庆市巴南区城市综合管理工作领导小组办公室</w:t>
      </w:r>
    </w:p>
    <w:p>
      <w:pPr>
        <w:spacing w:line="520" w:lineRule="exact"/>
        <w:jc w:val="center"/>
        <w:rPr>
          <w:rFonts w:eastAsia="方正仿宋_GBK"/>
          <w:color w:val="auto"/>
          <w:sz w:val="32"/>
          <w:szCs w:val="32"/>
        </w:rPr>
      </w:pPr>
      <w:r>
        <w:rPr>
          <w:rFonts w:hint="eastAsia" w:eastAsia="方正仿宋_GBK"/>
          <w:color w:val="auto"/>
          <w:sz w:val="32"/>
          <w:szCs w:val="32"/>
        </w:rPr>
        <w:t xml:space="preserve">             （代章）</w:t>
      </w:r>
    </w:p>
    <w:p>
      <w:pPr>
        <w:spacing w:line="520" w:lineRule="exact"/>
        <w:jc w:val="center"/>
        <w:rPr>
          <w:rFonts w:eastAsia="方正仿宋_GBK"/>
          <w:color w:val="auto"/>
          <w:sz w:val="32"/>
          <w:szCs w:val="32"/>
        </w:rPr>
      </w:pPr>
      <w:r>
        <w:rPr>
          <w:rFonts w:eastAsia="方正仿宋_GBK"/>
          <w:color w:val="auto"/>
          <w:sz w:val="32"/>
          <w:szCs w:val="32"/>
        </w:rPr>
        <w:t xml:space="preserve">    </w:t>
      </w:r>
      <w:r>
        <w:rPr>
          <w:rFonts w:hint="eastAsia" w:eastAsia="方正仿宋_GBK"/>
          <w:color w:val="auto"/>
          <w:sz w:val="32"/>
          <w:szCs w:val="32"/>
        </w:rPr>
        <w:t xml:space="preserve">       </w:t>
      </w:r>
      <w:r>
        <w:rPr>
          <w:rFonts w:eastAsia="方正仿宋_GBK"/>
          <w:color w:val="auto"/>
          <w:sz w:val="32"/>
          <w:szCs w:val="32"/>
        </w:rPr>
        <w:t xml:space="preserve"> 202</w:t>
      </w:r>
      <w:r>
        <w:rPr>
          <w:rFonts w:hint="eastAsia" w:eastAsia="方正仿宋_GBK"/>
          <w:color w:val="auto"/>
          <w:sz w:val="32"/>
          <w:szCs w:val="32"/>
        </w:rPr>
        <w:t>2</w:t>
      </w:r>
      <w:r>
        <w:rPr>
          <w:rFonts w:eastAsia="方正仿宋_GBK"/>
          <w:color w:val="auto"/>
          <w:sz w:val="32"/>
          <w:szCs w:val="32"/>
        </w:rPr>
        <w:t>年</w:t>
      </w:r>
      <w:r>
        <w:rPr>
          <w:rFonts w:hint="eastAsia" w:eastAsia="方正仿宋_GBK"/>
          <w:color w:val="auto"/>
          <w:sz w:val="32"/>
          <w:szCs w:val="32"/>
        </w:rPr>
        <w:t>4</w:t>
      </w:r>
      <w:r>
        <w:rPr>
          <w:rFonts w:eastAsia="方正仿宋_GBK"/>
          <w:color w:val="auto"/>
          <w:sz w:val="32"/>
          <w:szCs w:val="32"/>
        </w:rPr>
        <w:t>月</w:t>
      </w:r>
      <w:r>
        <w:rPr>
          <w:rFonts w:hint="eastAsia" w:eastAsia="方正仿宋_GBK"/>
          <w:color w:val="auto"/>
          <w:sz w:val="32"/>
          <w:szCs w:val="32"/>
        </w:rPr>
        <w:t>12</w:t>
      </w:r>
      <w:r>
        <w:rPr>
          <w:rFonts w:eastAsia="方正仿宋_GBK"/>
          <w:color w:val="auto"/>
          <w:sz w:val="32"/>
          <w:szCs w:val="32"/>
        </w:rPr>
        <w:t>日</w:t>
      </w:r>
    </w:p>
    <w:p>
      <w:pPr>
        <w:spacing w:line="520" w:lineRule="exact"/>
        <w:jc w:val="center"/>
        <w:rPr>
          <w:rFonts w:eastAsia="方正仿宋_GBK"/>
          <w:color w:val="auto"/>
          <w:sz w:val="32"/>
        </w:rPr>
      </w:pPr>
      <w:r>
        <w:rPr>
          <w:rFonts w:hint="eastAsia" w:eastAsia="方正仿宋_GBK"/>
          <w:color w:val="auto"/>
          <w:sz w:val="32"/>
        </w:rPr>
        <w:t>（</w:t>
      </w:r>
      <w:r>
        <w:rPr>
          <w:rFonts w:eastAsia="方正仿宋_GBK"/>
          <w:color w:val="auto"/>
          <w:sz w:val="32"/>
        </w:rPr>
        <w:t>联系人：李泓昊</w:t>
      </w:r>
      <w:r>
        <w:rPr>
          <w:rFonts w:hint="eastAsia" w:eastAsia="方正仿宋_GBK"/>
          <w:color w:val="auto"/>
          <w:sz w:val="32"/>
        </w:rPr>
        <w:t>；</w:t>
      </w:r>
      <w:r>
        <w:rPr>
          <w:rFonts w:eastAsia="方正仿宋_GBK"/>
          <w:color w:val="auto"/>
          <w:sz w:val="32"/>
        </w:rPr>
        <w:t>联系电话：66228132</w:t>
      </w:r>
      <w:r>
        <w:rPr>
          <w:rFonts w:hint="eastAsia" w:eastAsia="方正仿宋_GBK"/>
          <w:color w:val="auto"/>
          <w:sz w:val="32"/>
        </w:rPr>
        <w:t>）</w:t>
      </w:r>
    </w:p>
    <w:p>
      <w:pPr>
        <w:pStyle w:val="2"/>
        <w:rPr>
          <w:rFonts w:hint="default"/>
        </w:rPr>
      </w:pPr>
    </w:p>
    <w:p>
      <w:pPr>
        <w:pStyle w:val="2"/>
        <w:jc w:val="center"/>
        <w:rPr>
          <w:rFonts w:hint="default"/>
        </w:rPr>
      </w:pPr>
    </w:p>
    <w:p>
      <w:pPr>
        <w:pStyle w:val="2"/>
        <w:rPr>
          <w:rFonts w:hint="default" w:ascii="Times New Roman" w:hAnsi="Times New Roman" w:eastAsia="方正仿宋_GBK"/>
          <w:color w:val="auto"/>
          <w:kern w:val="2"/>
          <w:sz w:val="32"/>
          <w:szCs w:val="32"/>
        </w:rPr>
      </w:pPr>
      <w:r>
        <w:rPr>
          <w:rFonts w:ascii="Times New Roman" w:hAnsi="Times New Roman" w:eastAsia="方正仿宋_GBK"/>
          <w:color w:val="auto"/>
          <w:kern w:val="2"/>
          <w:sz w:val="32"/>
          <w:szCs w:val="32"/>
        </w:rPr>
        <w:t>（此件公开</w:t>
      </w:r>
      <w:r>
        <w:rPr>
          <w:rFonts w:hint="eastAsia" w:ascii="Times New Roman" w:hAnsi="Times New Roman" w:eastAsia="方正仿宋_GBK"/>
          <w:color w:val="auto"/>
          <w:kern w:val="2"/>
          <w:sz w:val="32"/>
          <w:szCs w:val="32"/>
          <w:lang w:eastAsia="zh-CN"/>
        </w:rPr>
        <w:t>发布</w:t>
      </w:r>
      <w:r>
        <w:rPr>
          <w:rFonts w:ascii="Times New Roman" w:hAnsi="Times New Roman" w:eastAsia="方正仿宋_GBK"/>
          <w:color w:val="auto"/>
          <w:kern w:val="2"/>
          <w:sz w:val="32"/>
          <w:szCs w:val="32"/>
        </w:rPr>
        <w:t>）</w:t>
      </w:r>
    </w:p>
    <w:p>
      <w:pPr>
        <w:pStyle w:val="2"/>
        <w:rPr>
          <w:rFonts w:hint="default"/>
        </w:rPr>
      </w:pPr>
    </w:p>
    <w:p>
      <w:pPr>
        <w:pStyle w:val="2"/>
        <w:rPr>
          <w:rFonts w:hint="default"/>
        </w:rPr>
      </w:pPr>
    </w:p>
    <w:p>
      <w:pPr>
        <w:spacing w:line="520" w:lineRule="exact"/>
        <w:rPr>
          <w:rFonts w:ascii="方正黑体_GBK" w:eastAsia="方正黑体_GBK"/>
          <w:color w:val="auto"/>
          <w:sz w:val="32"/>
          <w:szCs w:val="32"/>
        </w:rPr>
      </w:pPr>
    </w:p>
    <w:p>
      <w:pPr>
        <w:spacing w:line="520" w:lineRule="exact"/>
        <w:rPr>
          <w:rFonts w:ascii="方正黑体_GBK" w:eastAsia="方正黑体_GBK"/>
          <w:color w:val="auto"/>
          <w:sz w:val="32"/>
          <w:szCs w:val="32"/>
        </w:rPr>
      </w:pPr>
      <w:r>
        <w:rPr>
          <w:rFonts w:hint="eastAsia" w:ascii="方正黑体_GBK" w:eastAsia="方正黑体_GBK"/>
          <w:color w:val="auto"/>
          <w:sz w:val="32"/>
          <w:szCs w:val="32"/>
        </w:rPr>
        <w:t>附件1</w:t>
      </w:r>
    </w:p>
    <w:p>
      <w:pPr>
        <w:spacing w:line="520" w:lineRule="exact"/>
        <w:jc w:val="center"/>
        <w:rPr>
          <w:rFonts w:eastAsia="方正小标宋_GBK"/>
          <w:color w:val="auto"/>
          <w:sz w:val="44"/>
          <w:szCs w:val="44"/>
        </w:rPr>
      </w:pPr>
    </w:p>
    <w:p>
      <w:pPr>
        <w:spacing w:line="520" w:lineRule="exact"/>
        <w:jc w:val="center"/>
        <w:rPr>
          <w:rFonts w:eastAsia="方正小标宋_GBK"/>
          <w:color w:val="auto"/>
          <w:sz w:val="44"/>
          <w:szCs w:val="44"/>
        </w:rPr>
      </w:pPr>
      <w:r>
        <w:rPr>
          <w:rFonts w:eastAsia="方正小标宋_GBK"/>
          <w:color w:val="auto"/>
          <w:sz w:val="44"/>
          <w:szCs w:val="44"/>
        </w:rPr>
        <w:t>户外广告和招牌设施安全设置告知书</w:t>
      </w:r>
      <w:r>
        <w:rPr>
          <w:rFonts w:hint="eastAsia" w:eastAsia="方正小标宋_GBK"/>
          <w:color w:val="auto"/>
          <w:sz w:val="44"/>
          <w:szCs w:val="44"/>
        </w:rPr>
        <w:t>（模板）</w:t>
      </w:r>
    </w:p>
    <w:p>
      <w:pPr>
        <w:spacing w:line="520" w:lineRule="exact"/>
        <w:jc w:val="center"/>
        <w:rPr>
          <w:rFonts w:eastAsia="方正仿宋_GBK"/>
          <w:color w:val="auto"/>
          <w:sz w:val="32"/>
          <w:szCs w:val="32"/>
        </w:rPr>
      </w:pPr>
    </w:p>
    <w:p>
      <w:pPr>
        <w:spacing w:line="520" w:lineRule="exact"/>
        <w:ind w:firstLine="640" w:firstLineChars="200"/>
        <w:rPr>
          <w:rFonts w:eastAsia="方正仿宋_GBK"/>
          <w:color w:val="auto"/>
          <w:sz w:val="32"/>
          <w:szCs w:val="32"/>
        </w:rPr>
      </w:pPr>
      <w:r>
        <w:rPr>
          <w:rFonts w:eastAsia="方正仿宋_GBK"/>
          <w:color w:val="auto"/>
          <w:sz w:val="32"/>
          <w:szCs w:val="32"/>
        </w:rPr>
        <w:t>为全力遏制户外广告和招牌设施安全事故发生，尤其是防范附着于建（构）筑物上的镂空字及大型户外广告设施破损而造成的坠落风险，保障人民生命财产安全，根据相关法律法规规定，现将有关事宜告知如下：</w:t>
      </w:r>
    </w:p>
    <w:p>
      <w:pPr>
        <w:spacing w:line="520" w:lineRule="exact"/>
        <w:ind w:firstLine="640" w:firstLineChars="200"/>
        <w:rPr>
          <w:rFonts w:eastAsia="方正仿宋_GBK"/>
          <w:color w:val="auto"/>
          <w:sz w:val="32"/>
          <w:szCs w:val="32"/>
        </w:rPr>
      </w:pPr>
      <w:r>
        <w:rPr>
          <w:rFonts w:hint="eastAsia" w:ascii="方正黑体_GBK" w:eastAsia="方正黑体_GBK"/>
          <w:color w:val="auto"/>
          <w:sz w:val="32"/>
          <w:szCs w:val="32"/>
        </w:rPr>
        <w:t>一、</w:t>
      </w:r>
      <w:r>
        <w:rPr>
          <w:rFonts w:eastAsia="方正仿宋_GBK"/>
          <w:color w:val="auto"/>
          <w:sz w:val="32"/>
          <w:szCs w:val="32"/>
        </w:rPr>
        <w:t>户外广告和招牌设施设置应符合</w:t>
      </w:r>
      <w:r>
        <w:rPr>
          <w:rFonts w:hint="eastAsia" w:eastAsia="方正仿宋_GBK"/>
          <w:color w:val="auto"/>
          <w:sz w:val="32"/>
        </w:rPr>
        <w:t>《重庆市户外广告管理条例》、</w:t>
      </w:r>
      <w:r>
        <w:rPr>
          <w:rFonts w:eastAsia="方正仿宋_GBK"/>
          <w:color w:val="auto"/>
          <w:sz w:val="32"/>
        </w:rPr>
        <w:t>《户外广告设置规范</w:t>
      </w:r>
      <w:r>
        <w:rPr>
          <w:rFonts w:hint="eastAsia" w:eastAsia="方正仿宋_GBK"/>
          <w:color w:val="auto"/>
          <w:sz w:val="32"/>
        </w:rPr>
        <w:t>CG 028—2019</w:t>
      </w:r>
      <w:r>
        <w:rPr>
          <w:rFonts w:eastAsia="方正仿宋_GBK"/>
          <w:color w:val="auto"/>
          <w:sz w:val="32"/>
        </w:rPr>
        <w:t>》</w:t>
      </w:r>
      <w:r>
        <w:rPr>
          <w:rFonts w:hint="eastAsia" w:eastAsia="方正仿宋_GBK"/>
          <w:color w:val="auto"/>
          <w:sz w:val="32"/>
        </w:rPr>
        <w:t>以及</w:t>
      </w:r>
      <w:r>
        <w:rPr>
          <w:rFonts w:eastAsia="方正仿宋_GBK"/>
          <w:color w:val="auto"/>
          <w:sz w:val="32"/>
        </w:rPr>
        <w:t>《重庆市户外招牌</w:t>
      </w:r>
      <w:r>
        <w:rPr>
          <w:rFonts w:hint="eastAsia" w:eastAsia="方正仿宋_GBK"/>
          <w:color w:val="auto"/>
          <w:sz w:val="32"/>
        </w:rPr>
        <w:t>管理办法》、《重庆市户外招牌设置规范</w:t>
      </w:r>
      <w:r>
        <w:rPr>
          <w:rFonts w:eastAsia="方正仿宋_GBK"/>
          <w:color w:val="auto"/>
          <w:sz w:val="32"/>
        </w:rPr>
        <w:t>》</w:t>
      </w:r>
      <w:r>
        <w:rPr>
          <w:rFonts w:eastAsia="方正仿宋_GBK"/>
          <w:color w:val="auto"/>
          <w:sz w:val="32"/>
          <w:szCs w:val="32"/>
        </w:rPr>
        <w:t>等</w:t>
      </w:r>
      <w:r>
        <w:rPr>
          <w:rFonts w:eastAsia="方正仿宋_GBK"/>
          <w:color w:val="auto"/>
          <w:sz w:val="32"/>
        </w:rPr>
        <w:t>相关规范要求。</w:t>
      </w:r>
      <w:r>
        <w:rPr>
          <w:rFonts w:eastAsia="方正仿宋_GBK"/>
          <w:color w:val="auto"/>
          <w:sz w:val="32"/>
          <w:szCs w:val="32"/>
        </w:rPr>
        <w:t>户外广告</w:t>
      </w:r>
      <w:r>
        <w:rPr>
          <w:rFonts w:hint="eastAsia" w:eastAsia="方正仿宋_GBK"/>
          <w:color w:val="auto"/>
          <w:sz w:val="32"/>
          <w:szCs w:val="32"/>
        </w:rPr>
        <w:t>和招牌</w:t>
      </w:r>
      <w:r>
        <w:rPr>
          <w:rFonts w:eastAsia="方正仿宋_GBK"/>
          <w:color w:val="auto"/>
          <w:sz w:val="32"/>
          <w:szCs w:val="32"/>
        </w:rPr>
        <w:t>设施</w:t>
      </w:r>
      <w:r>
        <w:rPr>
          <w:rFonts w:hint="eastAsia" w:eastAsia="方正仿宋_GBK"/>
          <w:color w:val="auto"/>
          <w:sz w:val="32"/>
          <w:szCs w:val="32"/>
        </w:rPr>
        <w:t>的</w:t>
      </w:r>
      <w:r>
        <w:rPr>
          <w:rFonts w:eastAsia="方正仿宋_GBK"/>
          <w:color w:val="auto"/>
          <w:sz w:val="32"/>
          <w:szCs w:val="32"/>
        </w:rPr>
        <w:t>设置者是户外广告和招牌设施维护、管理的责任人，负责设施的检测维护保养，确保其美观、牢固、安全。</w:t>
      </w:r>
    </w:p>
    <w:p>
      <w:pPr>
        <w:spacing w:line="520" w:lineRule="exact"/>
        <w:ind w:firstLine="640" w:firstLineChars="200"/>
        <w:rPr>
          <w:rFonts w:eastAsia="方正仿宋_GBK"/>
          <w:color w:val="auto"/>
          <w:sz w:val="32"/>
          <w:szCs w:val="32"/>
        </w:rPr>
      </w:pPr>
      <w:r>
        <w:rPr>
          <w:rFonts w:hint="eastAsia" w:ascii="方正黑体_GBK" w:eastAsia="方正黑体_GBK"/>
          <w:color w:val="auto"/>
          <w:sz w:val="32"/>
          <w:szCs w:val="32"/>
        </w:rPr>
        <w:t>二、</w:t>
      </w:r>
      <w:r>
        <w:rPr>
          <w:rFonts w:eastAsia="方正仿宋_GBK"/>
          <w:color w:val="auto"/>
          <w:sz w:val="32"/>
          <w:szCs w:val="32"/>
        </w:rPr>
        <w:t>户外广告</w:t>
      </w:r>
      <w:r>
        <w:rPr>
          <w:rFonts w:hint="eastAsia" w:eastAsia="方正仿宋_GBK"/>
          <w:color w:val="auto"/>
          <w:sz w:val="32"/>
          <w:szCs w:val="32"/>
        </w:rPr>
        <w:t>和招牌</w:t>
      </w:r>
      <w:r>
        <w:rPr>
          <w:rFonts w:eastAsia="方正仿宋_GBK"/>
          <w:color w:val="auto"/>
          <w:sz w:val="32"/>
          <w:szCs w:val="32"/>
        </w:rPr>
        <w:t>设施</w:t>
      </w:r>
      <w:r>
        <w:rPr>
          <w:rFonts w:hint="eastAsia" w:eastAsia="方正仿宋_GBK"/>
          <w:color w:val="auto"/>
          <w:sz w:val="32"/>
          <w:szCs w:val="32"/>
        </w:rPr>
        <w:t>的</w:t>
      </w:r>
      <w:r>
        <w:rPr>
          <w:rFonts w:eastAsia="方正仿宋_GBK"/>
          <w:color w:val="auto"/>
          <w:sz w:val="32"/>
          <w:szCs w:val="32"/>
        </w:rPr>
        <w:t>设置者应当履行下列责任：</w:t>
      </w:r>
    </w:p>
    <w:p>
      <w:pPr>
        <w:spacing w:line="520" w:lineRule="exact"/>
        <w:ind w:firstLine="640" w:firstLineChars="200"/>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（一）户外广告安全监管。</w:t>
      </w:r>
      <w:r>
        <w:rPr>
          <w:rFonts w:hint="eastAsia" w:ascii="方正仿宋_GBK" w:hAnsi="方正仿宋_GBK" w:eastAsia="方正仿宋_GBK" w:cs="方正仿宋_GBK"/>
          <w:color w:val="auto"/>
          <w:sz w:val="32"/>
          <w:szCs w:val="32"/>
        </w:rPr>
        <w:t>1.每年应至少进行一次除锈防腐维护，发现有锈蚀、油漆脱落、龟裂和风化等现象应进行清理、除锈、修复和重新涂装。2.每年应定期（不少于两次）检查构件连接点（焊缝、螺栓和锚栓等），尤其是雷雨等强对流天气，发现节点松动或焊缝有裂痕，应及时加固、修复和重新焊接。3.每年应定期（不少于两次）对照明、供电、电器控制设备进行维护。一旦出现故障、损坏等情况，应在24小时内修复。</w:t>
      </w:r>
    </w:p>
    <w:p>
      <w:pPr>
        <w:spacing w:line="520" w:lineRule="exact"/>
        <w:ind w:firstLine="640" w:firstLineChars="200"/>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（二）招牌安全监管。</w:t>
      </w:r>
      <w:r>
        <w:rPr>
          <w:rFonts w:hint="eastAsia" w:ascii="方正仿宋_GBK" w:hAnsi="方正仿宋_GBK" w:eastAsia="方正仿宋_GBK" w:cs="方正仿宋_GBK"/>
          <w:color w:val="auto"/>
          <w:sz w:val="32"/>
          <w:szCs w:val="32"/>
        </w:rPr>
        <w:t>1.对户外招牌钢结构防腐保养应每年进行一次，发现有锈蚀、油漆脱落、龟裂、风化等现象，应进行清理、除锈、修复和重新涂装。2.当涂层表面光泽失去达80%、表面粗糙、风化龟裂达25%和漆膜起壳时，应及时维护。3.对钢结构构件连接点（焊缝、螺栓、锚栓）应每年检查一次，发现节点松动或焊缝有裂痕，应及时加固、修复和重新焊接。4.户外招牌设施面板采用木质结构（木档、胶合板）时，应每3个月检查一次，发现固定螺栓及木质材料腐烂时，应及时予以修补及更换。5.户外招牌设施的照明、供电、电器控制设备、防雷装置应每月维护一次，一旦出现电线绝缘材料损坏、导线外露时要及时处置，确保不发生漏电现象。6.户外招牌应无残缺破损、污迹和严重褪色，电子显示屏（牌）、灯箱等形式的招牌，应保持显示完好。如有残缺破损、污迹和严重褪色，或显示不完整，应于一周内维修或更换。</w:t>
      </w:r>
    </w:p>
    <w:p>
      <w:pPr>
        <w:spacing w:line="520" w:lineRule="exact"/>
        <w:ind w:firstLine="640" w:firstLineChars="200"/>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（三）户外广告和招牌特殊时段安全监管。</w:t>
      </w:r>
      <w:r>
        <w:rPr>
          <w:rFonts w:hint="eastAsia" w:ascii="方正仿宋_GBK" w:hAnsi="方正仿宋_GBK" w:eastAsia="方正仿宋_GBK" w:cs="方正仿宋_GBK"/>
          <w:color w:val="auto"/>
          <w:sz w:val="32"/>
          <w:szCs w:val="32"/>
        </w:rPr>
        <w:t>1.遇大风、大雪、暴雨等恶劣天气时，应对户外广告（招牌）钢、木质结构进行突击检修和维护保养，对钢、木质结构面板、画面连接的牢固程度进行加固处理，重点是结构强度、刚度和结构节、连接焊缝、螺栓、地脚螺栓（锚栓）。2.在大风雷雨季节，应检查避雷设施和电器安全保险设置，保证安全、正常使用。</w:t>
      </w:r>
    </w:p>
    <w:p>
      <w:pPr>
        <w:spacing w:line="520" w:lineRule="exact"/>
        <w:ind w:firstLine="640" w:firstLineChars="200"/>
        <w:rPr>
          <w:rFonts w:eastAsia="方正仿宋_GBK"/>
          <w:color w:val="auto"/>
          <w:sz w:val="32"/>
          <w:szCs w:val="32"/>
        </w:rPr>
      </w:pPr>
      <w:r>
        <w:rPr>
          <w:rFonts w:hint="eastAsia" w:ascii="方正黑体_GBK" w:eastAsia="方正黑体_GBK"/>
          <w:color w:val="auto"/>
          <w:sz w:val="32"/>
          <w:szCs w:val="32"/>
        </w:rPr>
        <w:t>三、</w:t>
      </w:r>
      <w:r>
        <w:rPr>
          <w:rFonts w:eastAsia="方正仿宋_GBK"/>
          <w:color w:val="auto"/>
          <w:sz w:val="32"/>
          <w:szCs w:val="32"/>
        </w:rPr>
        <w:t>请广大户外广告和招牌设施</w:t>
      </w:r>
      <w:r>
        <w:rPr>
          <w:rFonts w:hint="eastAsia" w:eastAsia="方正仿宋_GBK"/>
          <w:color w:val="auto"/>
          <w:sz w:val="32"/>
          <w:szCs w:val="32"/>
        </w:rPr>
        <w:t>的</w:t>
      </w:r>
      <w:r>
        <w:rPr>
          <w:rFonts w:eastAsia="方正仿宋_GBK"/>
          <w:color w:val="auto"/>
          <w:sz w:val="32"/>
          <w:szCs w:val="32"/>
        </w:rPr>
        <w:t>设置者自觉遵守以上内容，若未按规定履行上述义务，一旦发生安全责任事故，造成他人人身伤害或财产损失的，由其依法承担相应的法律责任。</w:t>
      </w:r>
    </w:p>
    <w:p>
      <w:pPr>
        <w:spacing w:line="520" w:lineRule="exact"/>
        <w:rPr>
          <w:color w:val="auto"/>
        </w:rPr>
      </w:pPr>
    </w:p>
    <w:p>
      <w:pPr>
        <w:spacing w:line="520" w:lineRule="exact"/>
        <w:rPr>
          <w:color w:val="auto"/>
        </w:rPr>
      </w:pPr>
    </w:p>
    <w:p>
      <w:pPr>
        <w:spacing w:line="520" w:lineRule="exact"/>
        <w:rPr>
          <w:color w:val="auto"/>
        </w:rPr>
      </w:pPr>
      <w:r>
        <w:rPr>
          <w:rFonts w:hint="eastAsia"/>
          <w:color w:val="auto"/>
        </w:rPr>
        <w:t xml:space="preserve">              XXX街道办事处（镇人民政府、局）</w:t>
      </w:r>
    </w:p>
    <w:p>
      <w:pPr>
        <w:spacing w:line="520" w:lineRule="exact"/>
        <w:rPr>
          <w:color w:val="auto"/>
        </w:rPr>
      </w:pPr>
      <w:r>
        <w:rPr>
          <w:rFonts w:hint="eastAsia"/>
          <w:color w:val="auto"/>
        </w:rPr>
        <w:t xml:space="preserve">                         2022年X月X日</w:t>
      </w:r>
    </w:p>
    <w:p>
      <w:pPr>
        <w:pStyle w:val="2"/>
        <w:rPr>
          <w:rFonts w:hint="default"/>
        </w:rPr>
        <w:sectPr>
          <w:footerReference r:id="rId3" w:type="default"/>
          <w:footerReference r:id="rId4" w:type="even"/>
          <w:pgSz w:w="11906" w:h="16838"/>
          <w:pgMar w:top="2098" w:right="1474" w:bottom="1985" w:left="1588" w:header="510" w:footer="794" w:gutter="0"/>
          <w:pgNumType w:fmt="numberInDash"/>
          <w:cols w:space="720" w:num="1"/>
          <w:docGrid w:linePitch="579" w:charSpace="-1749"/>
        </w:sectPr>
      </w:pPr>
    </w:p>
    <w:tbl>
      <w:tblPr>
        <w:tblStyle w:val="38"/>
        <w:tblW w:w="5812" w:type="pct"/>
        <w:tblInd w:w="-856" w:type="dxa"/>
        <w:tblLayout w:type="fixed"/>
        <w:tblCellMar>
          <w:top w:w="0" w:type="dxa"/>
          <w:left w:w="108" w:type="dxa"/>
          <w:bottom w:w="0" w:type="dxa"/>
          <w:right w:w="108" w:type="dxa"/>
        </w:tblCellMar>
      </w:tblPr>
      <w:tblGrid>
        <w:gridCol w:w="438"/>
        <w:gridCol w:w="2295"/>
        <w:gridCol w:w="458"/>
        <w:gridCol w:w="621"/>
        <w:gridCol w:w="516"/>
        <w:gridCol w:w="449"/>
        <w:gridCol w:w="449"/>
        <w:gridCol w:w="449"/>
        <w:gridCol w:w="449"/>
        <w:gridCol w:w="449"/>
        <w:gridCol w:w="449"/>
        <w:gridCol w:w="160"/>
        <w:gridCol w:w="546"/>
        <w:gridCol w:w="488"/>
        <w:gridCol w:w="172"/>
        <w:gridCol w:w="452"/>
        <w:gridCol w:w="479"/>
        <w:gridCol w:w="175"/>
        <w:gridCol w:w="274"/>
        <w:gridCol w:w="175"/>
        <w:gridCol w:w="323"/>
        <w:gridCol w:w="127"/>
        <w:gridCol w:w="353"/>
        <w:gridCol w:w="199"/>
        <w:gridCol w:w="51"/>
        <w:gridCol w:w="398"/>
        <w:gridCol w:w="449"/>
        <w:gridCol w:w="449"/>
        <w:gridCol w:w="175"/>
        <w:gridCol w:w="274"/>
        <w:gridCol w:w="458"/>
        <w:gridCol w:w="115"/>
        <w:gridCol w:w="326"/>
        <w:gridCol w:w="124"/>
        <w:gridCol w:w="163"/>
        <w:gridCol w:w="190"/>
        <w:gridCol w:w="100"/>
        <w:gridCol w:w="109"/>
        <w:gridCol w:w="181"/>
        <w:gridCol w:w="570"/>
      </w:tblGrid>
      <w:tr>
        <w:tblPrEx>
          <w:tblCellMar>
            <w:top w:w="0" w:type="dxa"/>
            <w:left w:w="108" w:type="dxa"/>
            <w:bottom w:w="0" w:type="dxa"/>
            <w:right w:w="108" w:type="dxa"/>
          </w:tblCellMar>
        </w:tblPrEx>
        <w:trPr>
          <w:trHeight w:val="547" w:hRule="atLeast"/>
        </w:trPr>
        <w:tc>
          <w:tcPr>
            <w:tcW w:w="4682" w:type="pct"/>
            <w:gridSpan w:val="36"/>
            <w:tcBorders>
              <w:top w:val="nil"/>
              <w:left w:val="nil"/>
              <w:bottom w:val="nil"/>
              <w:right w:val="nil"/>
            </w:tcBorders>
            <w:noWrap/>
            <w:vAlign w:val="center"/>
          </w:tcPr>
          <w:p>
            <w:pPr>
              <w:widowControl/>
              <w:jc w:val="left"/>
              <w:rPr>
                <w:rFonts w:ascii="方正黑体_GBK" w:hAnsi="宋体" w:eastAsia="方正黑体_GBK" w:cs="宋体"/>
                <w:color w:val="auto"/>
                <w:kern w:val="0"/>
                <w:sz w:val="32"/>
                <w:szCs w:val="32"/>
              </w:rPr>
            </w:pPr>
            <w:r>
              <w:rPr>
                <w:rFonts w:hint="eastAsia" w:ascii="方正黑体_GBK" w:hAnsi="宋体" w:eastAsia="方正黑体_GBK" w:cs="宋体"/>
                <w:color w:val="auto"/>
                <w:kern w:val="0"/>
                <w:sz w:val="32"/>
                <w:szCs w:val="32"/>
              </w:rPr>
              <w:t>附件2</w:t>
            </w:r>
          </w:p>
        </w:tc>
        <w:tc>
          <w:tcPr>
            <w:tcW w:w="318" w:type="pct"/>
            <w:gridSpan w:val="4"/>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r>
      <w:tr>
        <w:tblPrEx>
          <w:tblCellMar>
            <w:top w:w="0" w:type="dxa"/>
            <w:left w:w="108" w:type="dxa"/>
            <w:bottom w:w="0" w:type="dxa"/>
            <w:right w:w="108" w:type="dxa"/>
          </w:tblCellMar>
        </w:tblPrEx>
        <w:trPr>
          <w:trHeight w:val="565" w:hRule="atLeast"/>
        </w:trPr>
        <w:tc>
          <w:tcPr>
            <w:tcW w:w="5000" w:type="pct"/>
            <w:gridSpan w:val="40"/>
            <w:tcBorders>
              <w:top w:val="nil"/>
              <w:left w:val="nil"/>
              <w:bottom w:val="nil"/>
              <w:right w:val="nil"/>
            </w:tcBorders>
            <w:noWrap/>
            <w:vAlign w:val="center"/>
          </w:tcPr>
          <w:p>
            <w:pPr>
              <w:widowControl/>
              <w:jc w:val="center"/>
              <w:rPr>
                <w:rFonts w:ascii="宋体" w:hAnsi="宋体" w:eastAsia="宋体" w:cs="宋体"/>
                <w:color w:val="auto"/>
                <w:kern w:val="0"/>
                <w:sz w:val="22"/>
                <w:szCs w:val="22"/>
              </w:rPr>
            </w:pPr>
            <w:r>
              <w:rPr>
                <w:rFonts w:hint="eastAsia" w:ascii="方正小标宋_GBK" w:hAnsi="宋体" w:eastAsia="方正小标宋_GBK" w:cs="宋体"/>
                <w:color w:val="auto"/>
                <w:kern w:val="0"/>
                <w:sz w:val="36"/>
                <w:szCs w:val="36"/>
              </w:rPr>
              <w:t>巴南区户外广告和招牌设施安全监管工作开展情况月报表</w:t>
            </w:r>
          </w:p>
        </w:tc>
      </w:tr>
      <w:tr>
        <w:tblPrEx>
          <w:tblCellMar>
            <w:top w:w="0" w:type="dxa"/>
            <w:left w:w="108" w:type="dxa"/>
            <w:bottom w:w="0" w:type="dxa"/>
            <w:right w:w="108" w:type="dxa"/>
          </w:tblCellMar>
        </w:tblPrEx>
        <w:trPr>
          <w:trHeight w:val="395" w:hRule="atLeast"/>
        </w:trPr>
        <w:tc>
          <w:tcPr>
            <w:tcW w:w="906" w:type="pct"/>
            <w:gridSpan w:val="2"/>
            <w:tcBorders>
              <w:top w:val="nil"/>
              <w:left w:val="nil"/>
              <w:bottom w:val="nil"/>
              <w:right w:val="nil"/>
            </w:tcBorders>
            <w:noWrap/>
            <w:vAlign w:val="center"/>
          </w:tcPr>
          <w:p>
            <w:pPr>
              <w:widowControl/>
              <w:jc w:val="center"/>
              <w:rPr>
                <w:rFonts w:ascii="宋体" w:hAnsi="宋体" w:eastAsia="宋体" w:cs="宋体"/>
                <w:color w:val="auto"/>
                <w:kern w:val="0"/>
                <w:sz w:val="22"/>
                <w:szCs w:val="22"/>
              </w:rPr>
            </w:pPr>
            <w:r>
              <w:rPr>
                <w:rFonts w:hint="eastAsia" w:ascii="宋体" w:hAnsi="宋体" w:eastAsia="宋体" w:cs="宋体"/>
                <w:color w:val="auto"/>
                <w:kern w:val="0"/>
                <w:sz w:val="22"/>
                <w:szCs w:val="22"/>
              </w:rPr>
              <w:t>单位（盖章）：</w:t>
            </w:r>
          </w:p>
        </w:tc>
        <w:tc>
          <w:tcPr>
            <w:tcW w:w="152"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377"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396" w:type="pct"/>
            <w:gridSpan w:val="3"/>
            <w:tcBorders>
              <w:top w:val="nil"/>
              <w:left w:val="nil"/>
              <w:bottom w:val="nil"/>
              <w:right w:val="nil"/>
            </w:tcBorders>
            <w:noWrap/>
            <w:vAlign w:val="center"/>
          </w:tcPr>
          <w:p>
            <w:pPr>
              <w:widowControl/>
              <w:jc w:val="left"/>
              <w:rPr>
                <w:rFonts w:ascii="宋体" w:hAnsi="宋体" w:eastAsia="宋体" w:cs="宋体"/>
                <w:color w:val="auto"/>
                <w:kern w:val="0"/>
                <w:sz w:val="22"/>
                <w:szCs w:val="22"/>
              </w:rPr>
            </w:pPr>
            <w:r>
              <w:rPr>
                <w:rFonts w:hint="eastAsia" w:ascii="宋体" w:hAnsi="宋体" w:eastAsia="宋体" w:cs="宋体"/>
                <w:color w:val="auto"/>
                <w:kern w:val="0"/>
                <w:sz w:val="22"/>
                <w:szCs w:val="22"/>
              </w:rPr>
              <w:t>填报人：</w:t>
            </w:r>
          </w:p>
        </w:tc>
        <w:tc>
          <w:tcPr>
            <w:tcW w:w="207"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59"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9"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65"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59"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83"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488" w:type="pct"/>
            <w:gridSpan w:val="4"/>
            <w:tcBorders>
              <w:top w:val="nil"/>
              <w:left w:val="nil"/>
              <w:bottom w:val="nil"/>
              <w:right w:val="nil"/>
            </w:tcBorders>
            <w:noWrap/>
            <w:vAlign w:val="center"/>
          </w:tcPr>
          <w:p>
            <w:pPr>
              <w:widowControl/>
              <w:jc w:val="left"/>
              <w:rPr>
                <w:rFonts w:ascii="宋体" w:hAnsi="宋体" w:eastAsia="宋体" w:cs="宋体"/>
                <w:color w:val="auto"/>
                <w:kern w:val="0"/>
                <w:sz w:val="22"/>
                <w:szCs w:val="22"/>
              </w:rPr>
            </w:pPr>
            <w:r>
              <w:rPr>
                <w:rFonts w:hint="eastAsia" w:ascii="宋体" w:hAnsi="宋体" w:eastAsia="宋体" w:cs="宋体"/>
                <w:color w:val="auto"/>
                <w:kern w:val="0"/>
                <w:sz w:val="22"/>
                <w:szCs w:val="22"/>
              </w:rPr>
              <w:t>联系电话：</w:t>
            </w:r>
          </w:p>
        </w:tc>
        <w:tc>
          <w:tcPr>
            <w:tcW w:w="243"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46"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95"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96"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96" w:type="pct"/>
            <w:gridSpan w:val="2"/>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c>
          <w:tcPr>
            <w:tcW w:w="190" w:type="pct"/>
            <w:tcBorders>
              <w:top w:val="nil"/>
              <w:left w:val="nil"/>
              <w:bottom w:val="nil"/>
              <w:right w:val="nil"/>
            </w:tcBorders>
            <w:noWrap/>
            <w:vAlign w:val="center"/>
          </w:tcPr>
          <w:p>
            <w:pPr>
              <w:widowControl/>
              <w:jc w:val="left"/>
              <w:rPr>
                <w:rFonts w:ascii="宋体" w:hAnsi="宋体" w:eastAsia="宋体" w:cs="宋体"/>
                <w:color w:val="auto"/>
                <w:kern w:val="0"/>
                <w:sz w:val="22"/>
                <w:szCs w:val="22"/>
              </w:rPr>
            </w:pPr>
          </w:p>
        </w:tc>
      </w:tr>
      <w:tr>
        <w:tblPrEx>
          <w:tblCellMar>
            <w:top w:w="0" w:type="dxa"/>
            <w:left w:w="108" w:type="dxa"/>
            <w:bottom w:w="0" w:type="dxa"/>
            <w:right w:w="108" w:type="dxa"/>
          </w:tblCellMar>
        </w:tblPrEx>
        <w:trPr>
          <w:trHeight w:val="345" w:hRule="atLeast"/>
        </w:trPr>
        <w:tc>
          <w:tcPr>
            <w:tcW w:w="145" w:type="pct"/>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序号</w:t>
            </w:r>
          </w:p>
        </w:tc>
        <w:tc>
          <w:tcPr>
            <w:tcW w:w="4855" w:type="pct"/>
            <w:gridSpan w:val="39"/>
            <w:tcBorders>
              <w:top w:val="single" w:color="auto" w:sz="4" w:space="0"/>
              <w:left w:val="nil"/>
              <w:bottom w:val="single" w:color="auto" w:sz="4" w:space="0"/>
              <w:right w:val="nil"/>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辖区总量</w:t>
            </w:r>
          </w:p>
        </w:tc>
      </w:tr>
      <w:tr>
        <w:tblPrEx>
          <w:tblCellMar>
            <w:top w:w="0" w:type="dxa"/>
            <w:left w:w="108" w:type="dxa"/>
            <w:bottom w:w="0" w:type="dxa"/>
            <w:right w:w="108" w:type="dxa"/>
          </w:tblCellMar>
        </w:tblPrEx>
        <w:trPr>
          <w:trHeight w:val="1564" w:hRule="atLeast"/>
        </w:trPr>
        <w:tc>
          <w:tcPr>
            <w:tcW w:w="145" w:type="pct"/>
            <w:vMerge w:val="continue"/>
            <w:tcBorders>
              <w:top w:val="single" w:color="auto" w:sz="4" w:space="0"/>
              <w:left w:val="single" w:color="auto" w:sz="4" w:space="0"/>
              <w:bottom w:val="single" w:color="auto" w:sz="4" w:space="0"/>
              <w:right w:val="single" w:color="auto" w:sz="4" w:space="0"/>
            </w:tcBorders>
            <w:noWrap/>
            <w:vAlign w:val="center"/>
          </w:tcPr>
          <w:p>
            <w:pPr>
              <w:widowControl/>
              <w:jc w:val="left"/>
              <w:rPr>
                <w:rFonts w:eastAsia="方正仿宋_GBK"/>
                <w:color w:val="auto"/>
                <w:kern w:val="0"/>
                <w:sz w:val="21"/>
                <w:szCs w:val="21"/>
              </w:rPr>
            </w:pP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名称</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龙洲湾街道</w:t>
            </w: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鱼洞街道</w:t>
            </w:r>
          </w:p>
        </w:tc>
        <w:tc>
          <w:tcPr>
            <w:tcW w:w="17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莲花街道</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李家沱街道</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花溪街道</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南泉街道</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一品街道</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南彭街道</w:t>
            </w: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惠民街道</w:t>
            </w: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界石镇</w:t>
            </w: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接龙镇</w:t>
            </w: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东温泉镇</w:t>
            </w: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木洞镇</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圣灯山镇</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安澜镇</w:t>
            </w: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石龙镇</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姜家镇</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麻柳嘴镇</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丰盛镇</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二圣镇</w:t>
            </w: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双河口镇</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石滩镇</w:t>
            </w: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天星寺镇</w:t>
            </w: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合计</w:t>
            </w:r>
          </w:p>
        </w:tc>
      </w:tr>
      <w:tr>
        <w:tblPrEx>
          <w:tblCellMar>
            <w:top w:w="0" w:type="dxa"/>
            <w:left w:w="108" w:type="dxa"/>
            <w:bottom w:w="0" w:type="dxa"/>
            <w:right w:w="108" w:type="dxa"/>
          </w:tblCellMar>
        </w:tblPrEx>
        <w:trPr>
          <w:trHeight w:val="404"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1</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出动人/次</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7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r>
      <w:tr>
        <w:tblPrEx>
          <w:tblCellMar>
            <w:top w:w="0" w:type="dxa"/>
            <w:left w:w="108" w:type="dxa"/>
            <w:bottom w:w="0" w:type="dxa"/>
            <w:right w:w="108" w:type="dxa"/>
          </w:tblCellMar>
        </w:tblPrEx>
        <w:trPr>
          <w:trHeight w:val="355"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2</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出动车/次</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7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r>
      <w:tr>
        <w:tblPrEx>
          <w:tblCellMar>
            <w:top w:w="0" w:type="dxa"/>
            <w:left w:w="108" w:type="dxa"/>
            <w:bottom w:w="0" w:type="dxa"/>
            <w:right w:w="108" w:type="dxa"/>
          </w:tblCellMar>
        </w:tblPrEx>
        <w:trPr>
          <w:trHeight w:val="942"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3</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排查、整改存在安全隐患户外广告（处）</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7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r>
      <w:tr>
        <w:tblPrEx>
          <w:tblCellMar>
            <w:top w:w="0" w:type="dxa"/>
            <w:left w:w="108" w:type="dxa"/>
            <w:bottom w:w="0" w:type="dxa"/>
            <w:right w:w="108" w:type="dxa"/>
          </w:tblCellMar>
        </w:tblPrEx>
        <w:trPr>
          <w:trHeight w:val="631"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4</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排查、整改存在安全隐患招牌（处）</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7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r>
      <w:tr>
        <w:tblPrEx>
          <w:tblCellMar>
            <w:top w:w="0" w:type="dxa"/>
            <w:left w:w="108" w:type="dxa"/>
            <w:bottom w:w="0" w:type="dxa"/>
            <w:right w:w="108" w:type="dxa"/>
          </w:tblCellMar>
        </w:tblPrEx>
        <w:trPr>
          <w:trHeight w:val="942"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5</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发放户外广告和招牌设施安全设置告知书</w:t>
            </w:r>
            <w:r>
              <w:rPr>
                <w:rFonts w:eastAsia="方正仿宋_GBK"/>
                <w:color w:val="auto"/>
                <w:kern w:val="0"/>
                <w:sz w:val="21"/>
                <w:szCs w:val="21"/>
              </w:rPr>
              <w:br w:type="textWrapping"/>
            </w:r>
            <w:r>
              <w:rPr>
                <w:rFonts w:eastAsia="方正仿宋_GBK"/>
                <w:color w:val="auto"/>
                <w:kern w:val="0"/>
                <w:sz w:val="21"/>
                <w:szCs w:val="21"/>
              </w:rPr>
              <w:t>（份）</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71"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r>
      <w:tr>
        <w:tblPrEx>
          <w:tblCellMar>
            <w:top w:w="0" w:type="dxa"/>
            <w:left w:w="108" w:type="dxa"/>
            <w:bottom w:w="0" w:type="dxa"/>
            <w:right w:w="108" w:type="dxa"/>
          </w:tblCellMar>
        </w:tblPrEx>
        <w:trPr>
          <w:trHeight w:val="1044"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6</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张贴户外广告和招牌设施安全设置告知书</w:t>
            </w:r>
            <w:r>
              <w:rPr>
                <w:rFonts w:eastAsia="方正仿宋_GBK"/>
                <w:color w:val="auto"/>
                <w:kern w:val="0"/>
                <w:sz w:val="21"/>
                <w:szCs w:val="21"/>
              </w:rPr>
              <w:br w:type="textWrapping"/>
            </w:r>
            <w:r>
              <w:rPr>
                <w:rFonts w:eastAsia="方正仿宋_GBK"/>
                <w:color w:val="auto"/>
                <w:kern w:val="0"/>
                <w:sz w:val="21"/>
                <w:szCs w:val="21"/>
              </w:rPr>
              <w:t>（份）</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71"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eastAsia="方正仿宋_GBK"/>
                <w:color w:val="auto"/>
                <w:kern w:val="0"/>
                <w:sz w:val="21"/>
                <w:szCs w:val="21"/>
              </w:rPr>
              <w:t>　</w:t>
            </w:r>
          </w:p>
        </w:tc>
      </w:tr>
      <w:tr>
        <w:tblPrEx>
          <w:tblCellMar>
            <w:top w:w="0" w:type="dxa"/>
            <w:left w:w="108" w:type="dxa"/>
            <w:bottom w:w="0" w:type="dxa"/>
            <w:right w:w="108" w:type="dxa"/>
          </w:tblCellMar>
        </w:tblPrEx>
        <w:trPr>
          <w:trHeight w:val="403" w:hRule="atLeast"/>
        </w:trPr>
        <w:tc>
          <w:tcPr>
            <w:tcW w:w="145" w:type="pct"/>
            <w:tcBorders>
              <w:top w:val="nil"/>
              <w:left w:val="single" w:color="auto" w:sz="4" w:space="0"/>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7</w:t>
            </w:r>
          </w:p>
        </w:tc>
        <w:tc>
          <w:tcPr>
            <w:tcW w:w="76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r>
              <w:rPr>
                <w:rFonts w:hint="eastAsia" w:eastAsia="方正仿宋_GBK"/>
                <w:color w:val="auto"/>
                <w:kern w:val="0"/>
                <w:sz w:val="21"/>
                <w:szCs w:val="21"/>
              </w:rPr>
              <w:t>其他宣传形式</w:t>
            </w:r>
          </w:p>
        </w:tc>
        <w:tc>
          <w:tcPr>
            <w:tcW w:w="152"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06"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71" w:type="pct"/>
            <w:tcBorders>
              <w:top w:val="nil"/>
              <w:left w:val="nil"/>
              <w:bottom w:val="single" w:color="auto" w:sz="4" w:space="0"/>
              <w:right w:val="single" w:color="auto" w:sz="4" w:space="0"/>
            </w:tcBorders>
            <w:noWrap/>
            <w:vAlign w:val="center"/>
          </w:tcPr>
          <w:p>
            <w:pPr>
              <w:widowControl/>
              <w:jc w:val="left"/>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02"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1"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1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50"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17"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3"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9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49"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186" w:type="pct"/>
            <w:gridSpan w:val="4"/>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c>
          <w:tcPr>
            <w:tcW w:w="250" w:type="pct"/>
            <w:gridSpan w:val="2"/>
            <w:tcBorders>
              <w:top w:val="nil"/>
              <w:left w:val="nil"/>
              <w:bottom w:val="single" w:color="auto" w:sz="4" w:space="0"/>
              <w:right w:val="single" w:color="auto" w:sz="4" w:space="0"/>
            </w:tcBorders>
            <w:noWrap/>
            <w:vAlign w:val="center"/>
          </w:tcPr>
          <w:p>
            <w:pPr>
              <w:widowControl/>
              <w:jc w:val="center"/>
              <w:rPr>
                <w:rFonts w:eastAsia="方正仿宋_GBK"/>
                <w:color w:val="auto"/>
                <w:kern w:val="0"/>
                <w:sz w:val="21"/>
                <w:szCs w:val="21"/>
              </w:rPr>
            </w:pPr>
          </w:p>
        </w:tc>
      </w:tr>
    </w:tbl>
    <w:p>
      <w:pPr>
        <w:rPr>
          <w:rFonts w:ascii="方正楷体_GBK" w:hAnsi="方正仿宋_GBK" w:eastAsia="方正楷体_GBK" w:cs="方正仿宋_GBK"/>
          <w:color w:val="auto"/>
          <w:sz w:val="21"/>
          <w:szCs w:val="21"/>
        </w:rPr>
        <w:sectPr>
          <w:pgSz w:w="16838" w:h="11906" w:orient="landscape"/>
          <w:pgMar w:top="1588" w:right="2098" w:bottom="1474" w:left="1985" w:header="510" w:footer="454" w:gutter="0"/>
          <w:pgNumType w:fmt="numberInDash"/>
          <w:cols w:space="720" w:num="1"/>
          <w:docGrid w:linePitch="579" w:charSpace="-1749"/>
        </w:sectPr>
      </w:pPr>
      <w:r>
        <w:rPr>
          <w:rFonts w:hint="eastAsia" w:ascii="方正楷体_GBK" w:hAnsi="方正仿宋_GBK" w:eastAsia="方正楷体_GBK" w:cs="方正仿宋_GBK"/>
          <w:color w:val="auto"/>
          <w:sz w:val="21"/>
          <w:szCs w:val="21"/>
        </w:rPr>
        <w:t>填报说明：序号1、2填报内容为：排查X处、整改X处，两项数量可相等，也可排查数量大于整改数量，根据实际整改推进情况据实报送。</w:t>
      </w:r>
    </w:p>
    <w:p>
      <w:pPr>
        <w:adjustRightInd w:val="0"/>
        <w:snapToGrid w:val="0"/>
        <w:spacing w:line="400" w:lineRule="exact"/>
        <w:jc w:val="left"/>
        <w:rPr>
          <w:rFonts w:ascii="方正黑体_GBK" w:hAnsi="宋体" w:eastAsia="方正黑体_GBK"/>
          <w:color w:val="auto"/>
          <w:sz w:val="32"/>
          <w:szCs w:val="32"/>
        </w:rPr>
      </w:pPr>
      <w:bookmarkStart w:id="1" w:name="_Toc6922"/>
      <w:bookmarkStart w:id="2" w:name="_Toc22734"/>
      <w:r>
        <w:rPr>
          <w:rFonts w:hint="eastAsia" w:ascii="方正黑体_GBK" w:hAnsi="宋体" w:eastAsia="方正黑体_GBK"/>
          <w:color w:val="auto"/>
          <w:sz w:val="32"/>
          <w:szCs w:val="32"/>
        </w:rPr>
        <w:t>附件3</w:t>
      </w:r>
    </w:p>
    <w:p>
      <w:pPr>
        <w:adjustRightInd w:val="0"/>
        <w:snapToGrid w:val="0"/>
        <w:spacing w:line="320" w:lineRule="exact"/>
        <w:ind w:firstLine="680" w:firstLineChars="200"/>
        <w:rPr>
          <w:rFonts w:hAnsi="宋体"/>
          <w:color w:val="auto"/>
          <w:szCs w:val="21"/>
        </w:rPr>
      </w:pPr>
    </w:p>
    <w:p>
      <w:pPr>
        <w:adjustRightInd w:val="0"/>
        <w:snapToGrid w:val="0"/>
        <w:spacing w:line="320" w:lineRule="exact"/>
        <w:ind w:firstLine="680" w:firstLineChars="200"/>
        <w:rPr>
          <w:rFonts w:hAnsi="宋体"/>
          <w:color w:val="auto"/>
          <w:szCs w:val="21"/>
        </w:rPr>
      </w:pPr>
    </w:p>
    <w:p>
      <w:pPr>
        <w:adjustRightInd w:val="0"/>
        <w:snapToGrid w:val="0"/>
        <w:spacing w:line="320" w:lineRule="exact"/>
        <w:ind w:firstLine="680" w:firstLineChars="200"/>
        <w:rPr>
          <w:rFonts w:hAnsi="宋体"/>
          <w:color w:val="auto"/>
          <w:szCs w:val="21"/>
        </w:rPr>
      </w:pPr>
    </w:p>
    <w:p>
      <w:pPr>
        <w:adjustRightInd w:val="0"/>
        <w:snapToGrid w:val="0"/>
        <w:spacing w:line="460" w:lineRule="exact"/>
        <w:jc w:val="center"/>
        <w:rPr>
          <w:rFonts w:ascii="方正黑体_GBK" w:hAnsi="黑体" w:eastAsia="方正黑体_GBK"/>
          <w:b/>
          <w:color w:val="auto"/>
          <w:sz w:val="32"/>
          <w:szCs w:val="32"/>
        </w:rPr>
      </w:pPr>
      <w:r>
        <w:rPr>
          <w:rFonts w:hint="eastAsia" w:ascii="方正黑体_GBK" w:hAnsi="黑体" w:eastAsia="方正黑体_GBK"/>
          <w:b/>
          <w:color w:val="auto"/>
          <w:sz w:val="32"/>
          <w:szCs w:val="32"/>
        </w:rPr>
        <w:t>重庆市城市管理标准</w:t>
      </w:r>
    </w:p>
    <w:p>
      <w:pPr>
        <w:adjustRightInd w:val="0"/>
        <w:snapToGrid w:val="0"/>
        <w:spacing w:line="460" w:lineRule="exact"/>
        <w:jc w:val="center"/>
        <w:rPr>
          <w:rFonts w:ascii="方正黑体_GBK" w:hAnsi="宋体" w:eastAsia="方正黑体_GBK"/>
          <w:color w:val="auto"/>
          <w:sz w:val="32"/>
          <w:szCs w:val="32"/>
        </w:rPr>
      </w:pPr>
    </w:p>
    <w:p>
      <w:pPr>
        <w:adjustRightInd w:val="0"/>
        <w:snapToGrid w:val="0"/>
        <w:spacing w:line="460" w:lineRule="exact"/>
        <w:jc w:val="center"/>
        <w:rPr>
          <w:rFonts w:ascii="方正黑体_GBK" w:hAnsi="宋体" w:eastAsia="方正黑体_GBK"/>
          <w:b/>
          <w:color w:val="auto"/>
          <w:sz w:val="32"/>
          <w:szCs w:val="32"/>
        </w:rPr>
      </w:pPr>
      <w:r>
        <w:rPr>
          <w:rFonts w:hint="eastAsia" w:ascii="方正黑体_GBK" w:hAnsi="宋体" w:eastAsia="方正黑体_GBK"/>
          <w:b/>
          <w:color w:val="auto"/>
          <w:sz w:val="32"/>
          <w:szCs w:val="32"/>
        </w:rPr>
        <w:t>户外广告设置规范</w:t>
      </w:r>
    </w:p>
    <w:p>
      <w:pPr>
        <w:adjustRightInd w:val="0"/>
        <w:snapToGrid w:val="0"/>
        <w:spacing w:line="460" w:lineRule="exact"/>
        <w:jc w:val="center"/>
        <w:rPr>
          <w:rFonts w:ascii="方正黑体_GBK" w:hAnsi="宋体" w:eastAsia="方正黑体_GBK"/>
          <w:color w:val="auto"/>
          <w:sz w:val="28"/>
          <w:szCs w:val="28"/>
        </w:rPr>
      </w:pPr>
    </w:p>
    <w:p>
      <w:pPr>
        <w:adjustRightInd w:val="0"/>
        <w:snapToGrid w:val="0"/>
        <w:spacing w:line="320" w:lineRule="exact"/>
        <w:jc w:val="center"/>
        <w:rPr>
          <w:rFonts w:hAnsi="宋体"/>
          <w:color w:val="auto"/>
          <w:sz w:val="28"/>
          <w:szCs w:val="28"/>
        </w:rPr>
      </w:pPr>
    </w:p>
    <w:p>
      <w:pPr>
        <w:adjustRightInd w:val="0"/>
        <w:snapToGrid w:val="0"/>
        <w:spacing w:line="320" w:lineRule="exact"/>
        <w:jc w:val="center"/>
        <w:rPr>
          <w:rFonts w:ascii="方正书宋简体" w:eastAsia="方正书宋简体" w:hAnsiTheme="minorEastAsia"/>
          <w:b/>
          <w:bCs/>
          <w:color w:val="auto"/>
          <w:sz w:val="21"/>
          <w:szCs w:val="21"/>
        </w:rPr>
      </w:pPr>
      <w:r>
        <w:rPr>
          <w:rFonts w:ascii="方正书宋简体" w:eastAsia="方正书宋简体" w:hAnsiTheme="minorEastAsia"/>
          <w:b/>
          <w:bCs/>
          <w:color w:val="auto"/>
          <w:sz w:val="21"/>
          <w:szCs w:val="21"/>
        </w:rPr>
        <w:t>Specification For Outdoor Advertisement Setting</w:t>
      </w:r>
    </w:p>
    <w:p>
      <w:pPr>
        <w:adjustRightInd w:val="0"/>
        <w:snapToGrid w:val="0"/>
        <w:spacing w:line="320" w:lineRule="exact"/>
        <w:ind w:firstLine="680" w:firstLineChars="200"/>
        <w:rPr>
          <w:rFonts w:ascii="方正书宋简体" w:hAnsi="宋体" w:eastAsia="方正书宋简体"/>
          <w:color w:val="auto"/>
          <w:szCs w:val="21"/>
        </w:rPr>
      </w:pPr>
    </w:p>
    <w:p>
      <w:pPr>
        <w:adjustRightInd w:val="0"/>
        <w:snapToGrid w:val="0"/>
        <w:spacing w:line="320" w:lineRule="exact"/>
        <w:ind w:firstLine="680" w:firstLineChars="200"/>
        <w:rPr>
          <w:rFonts w:hAnsi="宋体"/>
          <w:color w:val="auto"/>
          <w:szCs w:val="21"/>
        </w:rPr>
      </w:pPr>
    </w:p>
    <w:p>
      <w:pPr>
        <w:adjustRightInd w:val="0"/>
        <w:snapToGrid w:val="0"/>
        <w:spacing w:line="320" w:lineRule="exact"/>
        <w:jc w:val="center"/>
        <w:rPr>
          <w:rFonts w:hAnsi="宋体" w:eastAsia="宋体"/>
          <w:b/>
          <w:color w:val="auto"/>
          <w:sz w:val="24"/>
        </w:rPr>
      </w:pPr>
      <w:r>
        <w:rPr>
          <w:rFonts w:hint="eastAsia" w:hAnsi="宋体" w:eastAsia="宋体"/>
          <w:b/>
          <w:color w:val="auto"/>
          <w:sz w:val="24"/>
        </w:rPr>
        <w:t>CG 028—2019</w:t>
      </w:r>
    </w:p>
    <w:p>
      <w:pPr>
        <w:adjustRightInd w:val="0"/>
        <w:snapToGrid w:val="0"/>
        <w:spacing w:line="320" w:lineRule="exact"/>
        <w:ind w:firstLine="680" w:firstLineChars="200"/>
        <w:rPr>
          <w:rFonts w:hAnsi="宋体"/>
          <w:color w:val="auto"/>
          <w:szCs w:val="21"/>
        </w:rPr>
      </w:pPr>
    </w:p>
    <w:p>
      <w:pPr>
        <w:pStyle w:val="2"/>
        <w:spacing w:line="400" w:lineRule="exact"/>
        <w:jc w:val="center"/>
        <w:rPr>
          <w:rFonts w:hint="default"/>
          <w:sz w:val="28"/>
          <w:szCs w:val="28"/>
        </w:rPr>
      </w:pPr>
    </w:p>
    <w:p>
      <w:pPr>
        <w:adjustRightInd w:val="0"/>
        <w:snapToGrid w:val="0"/>
        <w:spacing w:line="400" w:lineRule="exact"/>
        <w:jc w:val="center"/>
        <w:rPr>
          <w:rFonts w:hAnsi="宋体" w:eastAsia="宋体"/>
          <w:color w:val="auto"/>
          <w:sz w:val="28"/>
          <w:szCs w:val="28"/>
        </w:rPr>
      </w:pPr>
      <w:r>
        <w:rPr>
          <w:rFonts w:hint="eastAsia" w:hAnsi="宋体" w:eastAsia="宋体"/>
          <w:color w:val="auto"/>
          <w:sz w:val="28"/>
          <w:szCs w:val="28"/>
        </w:rPr>
        <w:t>主编单位：</w:t>
      </w:r>
      <w:r>
        <w:rPr>
          <w:rFonts w:hAnsi="宋体" w:eastAsia="宋体"/>
          <w:color w:val="auto"/>
          <w:sz w:val="28"/>
          <w:szCs w:val="28"/>
        </w:rPr>
        <w:t>重庆市计量质</w:t>
      </w:r>
      <w:r>
        <w:rPr>
          <w:rFonts w:hint="eastAsia" w:hAnsi="宋体" w:eastAsia="宋体"/>
          <w:color w:val="auto"/>
          <w:sz w:val="28"/>
          <w:szCs w:val="28"/>
        </w:rPr>
        <w:t>量检测研究院</w:t>
      </w:r>
    </w:p>
    <w:p>
      <w:pPr>
        <w:adjustRightInd w:val="0"/>
        <w:snapToGrid w:val="0"/>
        <w:spacing w:line="400" w:lineRule="exact"/>
        <w:jc w:val="center"/>
        <w:rPr>
          <w:rFonts w:hAnsi="宋体" w:eastAsia="宋体"/>
          <w:color w:val="auto"/>
          <w:sz w:val="28"/>
          <w:szCs w:val="28"/>
        </w:rPr>
      </w:pPr>
      <w:r>
        <w:rPr>
          <w:rFonts w:hint="eastAsia" w:hAnsi="宋体" w:eastAsia="宋体"/>
          <w:color w:val="auto"/>
          <w:sz w:val="28"/>
          <w:szCs w:val="28"/>
        </w:rPr>
        <w:t>批准部门：重庆市城市管理局</w:t>
      </w:r>
    </w:p>
    <w:p>
      <w:pPr>
        <w:adjustRightInd w:val="0"/>
        <w:snapToGrid w:val="0"/>
        <w:spacing w:line="400" w:lineRule="exact"/>
        <w:jc w:val="center"/>
        <w:rPr>
          <w:rFonts w:hAnsi="宋体" w:eastAsia="宋体"/>
          <w:color w:val="auto"/>
          <w:sz w:val="28"/>
          <w:szCs w:val="28"/>
        </w:rPr>
      </w:pPr>
      <w:r>
        <w:rPr>
          <w:rFonts w:hint="eastAsia" w:hAnsi="宋体" w:eastAsia="宋体"/>
          <w:color w:val="auto"/>
          <w:sz w:val="28"/>
          <w:szCs w:val="28"/>
        </w:rPr>
        <w:t>施行日期：2020年1月1日</w:t>
      </w:r>
    </w:p>
    <w:p>
      <w:pPr>
        <w:adjustRightInd w:val="0"/>
        <w:snapToGrid w:val="0"/>
        <w:spacing w:line="320" w:lineRule="exact"/>
        <w:ind w:left="2064" w:leftChars="607"/>
        <w:rPr>
          <w:rFonts w:hAnsi="宋体"/>
          <w:color w:val="auto"/>
          <w:sz w:val="24"/>
        </w:rPr>
      </w:pPr>
    </w:p>
    <w:p>
      <w:pPr>
        <w:adjustRightInd w:val="0"/>
        <w:snapToGrid w:val="0"/>
        <w:spacing w:line="320" w:lineRule="exact"/>
        <w:ind w:firstLine="680" w:firstLineChars="200"/>
        <w:rPr>
          <w:rFonts w:hAnsi="宋体"/>
          <w:color w:val="auto"/>
          <w:szCs w:val="21"/>
        </w:rPr>
      </w:pPr>
    </w:p>
    <w:p>
      <w:pPr>
        <w:adjustRightInd w:val="0"/>
        <w:snapToGrid w:val="0"/>
        <w:spacing w:line="320" w:lineRule="exact"/>
        <w:jc w:val="center"/>
        <w:rPr>
          <w:rFonts w:hAnsi="宋体"/>
          <w:color w:val="auto"/>
          <w:szCs w:val="21"/>
        </w:rPr>
      </w:pPr>
      <w:r>
        <w:rPr>
          <w:rFonts w:hint="eastAsia" w:hAnsi="宋体"/>
          <w:b/>
          <w:color w:val="auto"/>
          <w:szCs w:val="21"/>
        </w:rPr>
        <w:t>2019</w:t>
      </w:r>
      <w:r>
        <w:rPr>
          <w:rFonts w:hint="eastAsia" w:hAnsi="宋体"/>
          <w:color w:val="auto"/>
          <w:szCs w:val="21"/>
        </w:rPr>
        <w:t>·</w:t>
      </w:r>
      <w:r>
        <w:rPr>
          <w:rFonts w:hint="eastAsia" w:ascii="黑体" w:hAnsi="黑体" w:eastAsia="黑体"/>
          <w:color w:val="auto"/>
          <w:szCs w:val="21"/>
        </w:rPr>
        <w:t>重庆</w:t>
      </w:r>
    </w:p>
    <w:p>
      <w:pPr>
        <w:widowControl/>
        <w:jc w:val="left"/>
        <w:rPr>
          <w:rFonts w:hAnsi="宋体"/>
          <w:color w:val="auto"/>
          <w:szCs w:val="21"/>
        </w:rPr>
      </w:pPr>
      <w:bookmarkStart w:id="3" w:name="_Toc17107004"/>
      <w:r>
        <w:rPr>
          <w:rFonts w:hAnsi="宋体"/>
          <w:color w:val="auto"/>
          <w:szCs w:val="21"/>
        </w:rPr>
        <w:br w:type="page"/>
      </w:r>
    </w:p>
    <w:bookmarkEnd w:id="3"/>
    <w:p>
      <w:pPr>
        <w:spacing w:line="320" w:lineRule="exact"/>
        <w:ind w:firstLine="640" w:firstLineChars="200"/>
        <w:jc w:val="center"/>
        <w:rPr>
          <w:rFonts w:ascii="方正黑体_GBK" w:hAnsi="宋体" w:eastAsia="方正黑体_GBK"/>
          <w:color w:val="auto"/>
          <w:sz w:val="32"/>
          <w:szCs w:val="32"/>
        </w:rPr>
      </w:pPr>
      <w:bookmarkStart w:id="4" w:name="_Toc25521"/>
      <w:bookmarkStart w:id="5" w:name="_Toc27264"/>
      <w:bookmarkStart w:id="6" w:name="_Toc2736"/>
      <w:bookmarkStart w:id="7" w:name="_Toc15981941"/>
      <w:bookmarkStart w:id="8" w:name="_Toc26292"/>
      <w:bookmarkStart w:id="9" w:name="_Toc23197"/>
      <w:bookmarkStart w:id="10" w:name="_Toc2500"/>
      <w:bookmarkStart w:id="11" w:name="_Toc13280"/>
      <w:bookmarkStart w:id="12" w:name="_Toc11264"/>
      <w:bookmarkStart w:id="13" w:name="_Toc20892"/>
      <w:bookmarkStart w:id="14" w:name="_Toc21199"/>
      <w:bookmarkStart w:id="15" w:name="_Toc12019"/>
      <w:bookmarkStart w:id="16" w:name="_Toc20336"/>
      <w:bookmarkStart w:id="17" w:name="_Toc2673"/>
      <w:bookmarkStart w:id="18" w:name="_Toc30494"/>
      <w:bookmarkStart w:id="19" w:name="_Toc457069918"/>
      <w:bookmarkStart w:id="20" w:name="_Toc28274"/>
      <w:bookmarkStart w:id="21" w:name="_Toc24560"/>
      <w:bookmarkStart w:id="22" w:name="_Toc9122"/>
      <w:bookmarkStart w:id="23" w:name="_Toc22114"/>
      <w:bookmarkStart w:id="24" w:name="_Toc1210"/>
      <w:bookmarkStart w:id="25" w:name="_Toc10352"/>
      <w:bookmarkStart w:id="26" w:name="_Toc14063"/>
      <w:bookmarkStart w:id="27" w:name="_Toc24273"/>
      <w:bookmarkStart w:id="28" w:name="_Toc21781"/>
      <w:bookmarkStart w:id="29" w:name="_Toc1051"/>
      <w:bookmarkStart w:id="30" w:name="_Toc24400"/>
      <w:bookmarkStart w:id="31" w:name="_Toc15791"/>
      <w:bookmarkStart w:id="32" w:name="_Toc26945"/>
      <w:bookmarkStart w:id="33" w:name="_Toc18147"/>
      <w:bookmarkStart w:id="34" w:name="_Toc15981870"/>
      <w:bookmarkStart w:id="35" w:name="_Toc21748"/>
      <w:bookmarkStart w:id="36" w:name="_Toc14394"/>
      <w:bookmarkStart w:id="37" w:name="_Toc20122"/>
      <w:bookmarkStart w:id="38" w:name="_Toc21905"/>
      <w:bookmarkStart w:id="39" w:name="_Toc26346"/>
      <w:bookmarkStart w:id="40" w:name="_Toc31208"/>
      <w:bookmarkStart w:id="41" w:name="_Toc15496"/>
      <w:bookmarkStart w:id="42" w:name="_Toc31654"/>
      <w:bookmarkStart w:id="43" w:name="_Toc22200"/>
      <w:bookmarkStart w:id="44" w:name="_Toc27773"/>
      <w:r>
        <w:rPr>
          <w:rFonts w:hint="eastAsia" w:ascii="方正黑体_GBK" w:hAnsi="宋体" w:eastAsia="方正黑体_GBK"/>
          <w:color w:val="auto"/>
          <w:sz w:val="32"/>
          <w:szCs w:val="32"/>
        </w:rPr>
        <w:t>前  言</w:t>
      </w:r>
    </w:p>
    <w:p>
      <w:pPr>
        <w:spacing w:line="320" w:lineRule="exact"/>
        <w:ind w:firstLine="480" w:firstLineChars="200"/>
        <w:rPr>
          <w:rFonts w:ascii="方正仿宋_GBK" w:eastAsia="方正仿宋_GBK"/>
          <w:color w:val="auto"/>
          <w:sz w:val="24"/>
        </w:rPr>
      </w:pP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为规范重庆市户外广告设置管理，提升户外广告设置品质，科学合理的利用城市空间资源，美化城市视觉环境，依据《广告法》、《重庆市户外广告管理条例》等，结合重庆本地实际制定。</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本规范内容包括：1.范围；2.规范性引用文件；3.术语与定义；4.设置要求；5.广告照明和用电；6.广告材料；7.广告设计；8.广告施工；9.广告安全；10.广告维护、安全检测和拆除。</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本规范按照GB/T 1.1-2009给出的规则起草。</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本规范由重庆市城市管理局提出并归口管理。</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本规范起草单位：重庆市计量质量检测研究院</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重庆日报报业集团户外传媒有限公司</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重庆公用站台设施投资开发（集团）有限公司</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渝中区城市管理局</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江北区城市管理局</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重庆市城市建设技工学校</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主要起草人：陈  静  曾晋春  任  伟  汪  玮  王成斌  黄林平  罗沛姿</w:t>
      </w:r>
    </w:p>
    <w:p>
      <w:pPr>
        <w:spacing w:line="40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审查专家：  谢吾同  蔡  敏  冯建平  肖金生  何彩霞  范远东  黄  正</w:t>
      </w:r>
    </w:p>
    <w:p>
      <w:pPr>
        <w:spacing w:line="320" w:lineRule="exact"/>
        <w:ind w:firstLine="420" w:firstLineChars="200"/>
        <w:rPr>
          <w:rFonts w:ascii="方正仿宋_GBK" w:eastAsia="方正仿宋_GBK"/>
          <w:color w:val="auto"/>
          <w:sz w:val="21"/>
          <w:szCs w:val="21"/>
        </w:rPr>
      </w:pPr>
    </w:p>
    <w:p>
      <w:pPr>
        <w:spacing w:line="32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 xml:space="preserve"> </w:t>
      </w:r>
    </w:p>
    <w:p>
      <w:pPr>
        <w:spacing w:line="320" w:lineRule="exact"/>
        <w:ind w:firstLine="420" w:firstLineChars="200"/>
        <w:rPr>
          <w:rFonts w:ascii="方正仿宋_GBK" w:eastAsia="方正仿宋_GBK"/>
          <w:color w:val="auto"/>
          <w:sz w:val="21"/>
          <w:szCs w:val="21"/>
        </w:rPr>
      </w:pPr>
    </w:p>
    <w:p>
      <w:pPr>
        <w:pStyle w:val="2"/>
        <w:rPr>
          <w:rFonts w:hint="default"/>
        </w:rPr>
      </w:pPr>
    </w:p>
    <w:p>
      <w:pPr>
        <w:spacing w:line="320" w:lineRule="exact"/>
        <w:jc w:val="center"/>
        <w:rPr>
          <w:rFonts w:ascii="方正黑体_GBK" w:eastAsia="方正黑体_GBK"/>
          <w:color w:val="auto"/>
          <w:sz w:val="32"/>
          <w:szCs w:val="32"/>
        </w:rPr>
      </w:pPr>
      <w:r>
        <w:rPr>
          <w:rFonts w:hint="eastAsia" w:ascii="方正黑体_GBK" w:eastAsia="方正黑体_GBK"/>
          <w:color w:val="auto"/>
          <w:sz w:val="32"/>
          <w:szCs w:val="32"/>
        </w:rPr>
        <w:t>1  范  围</w:t>
      </w:r>
    </w:p>
    <w:p>
      <w:pPr>
        <w:spacing w:line="320" w:lineRule="exact"/>
        <w:ind w:firstLine="420" w:firstLineChars="200"/>
        <w:rPr>
          <w:rFonts w:ascii="方正仿宋_GBK" w:eastAsia="方正仿宋_GBK"/>
          <w:color w:val="auto"/>
          <w:sz w:val="21"/>
          <w:szCs w:val="21"/>
        </w:rPr>
      </w:pPr>
    </w:p>
    <w:p>
      <w:pPr>
        <w:spacing w:line="320" w:lineRule="exact"/>
        <w:ind w:firstLine="421" w:firstLineChars="200"/>
        <w:rPr>
          <w:rFonts w:ascii="方正仿宋_GBK" w:eastAsia="方正仿宋_GBK" w:hAnsiTheme="minorEastAsia"/>
          <w:color w:val="auto"/>
          <w:kern w:val="0"/>
          <w:sz w:val="21"/>
          <w:szCs w:val="21"/>
        </w:rPr>
      </w:pPr>
      <w:r>
        <w:rPr>
          <w:rFonts w:hint="eastAsia" w:ascii="方正仿宋_GBK" w:eastAsia="方正仿宋_GBK" w:hAnsiTheme="minorEastAsia"/>
          <w:b/>
          <w:color w:val="auto"/>
          <w:kern w:val="0"/>
          <w:sz w:val="21"/>
          <w:szCs w:val="21"/>
        </w:rPr>
        <w:t xml:space="preserve">1.0.1 </w:t>
      </w:r>
      <w:r>
        <w:rPr>
          <w:rFonts w:hint="eastAsia" w:ascii="方正仿宋_GBK" w:eastAsia="方正仿宋_GBK" w:hAnsiTheme="minorEastAsia"/>
          <w:color w:val="auto"/>
          <w:kern w:val="0"/>
          <w:sz w:val="21"/>
          <w:szCs w:val="21"/>
        </w:rPr>
        <w:t xml:space="preserve"> 本规范规定了户外广告的设置、照明、用电、材料、设计、施工、安全、维护和检测等有关技术要求。</w:t>
      </w:r>
    </w:p>
    <w:p>
      <w:pPr>
        <w:spacing w:line="320" w:lineRule="exact"/>
        <w:ind w:firstLine="421" w:firstLineChars="200"/>
        <w:rPr>
          <w:rFonts w:ascii="方正仿宋_GBK" w:eastAsia="方正仿宋_GBK" w:hAnsiTheme="minorEastAsia"/>
          <w:color w:val="auto"/>
          <w:kern w:val="0"/>
          <w:sz w:val="21"/>
          <w:szCs w:val="21"/>
        </w:rPr>
      </w:pPr>
      <w:r>
        <w:rPr>
          <w:rFonts w:hint="eastAsia" w:ascii="方正仿宋_GBK" w:eastAsia="方正仿宋_GBK" w:hAnsiTheme="minorEastAsia"/>
          <w:b/>
          <w:color w:val="auto"/>
          <w:kern w:val="0"/>
          <w:sz w:val="21"/>
          <w:szCs w:val="21"/>
        </w:rPr>
        <w:t xml:space="preserve">1.0.2 </w:t>
      </w:r>
      <w:r>
        <w:rPr>
          <w:rFonts w:hint="eastAsia" w:ascii="方正仿宋_GBK" w:eastAsia="方正仿宋_GBK" w:hAnsiTheme="minorEastAsia"/>
          <w:color w:val="auto"/>
          <w:kern w:val="0"/>
          <w:sz w:val="21"/>
          <w:szCs w:val="21"/>
        </w:rPr>
        <w:t xml:space="preserve"> 本规范适用于重庆市城市规划区范围的户外广告设置管理，其它区域参照执行。</w:t>
      </w:r>
      <w:r>
        <w:rPr>
          <w:rFonts w:hint="eastAsia" w:ascii="方正仿宋_GBK" w:eastAsia="方正仿宋_GBK" w:hAnsiTheme="minorEastAsia"/>
          <w:color w:val="auto"/>
          <w:kern w:val="0"/>
          <w:sz w:val="21"/>
          <w:szCs w:val="21"/>
        </w:rPr>
        <w:br w:type="page"/>
      </w:r>
    </w:p>
    <w:p>
      <w:pPr>
        <w:pStyle w:val="4"/>
        <w:keepNext w:val="0"/>
        <w:keepLines w:val="0"/>
        <w:adjustRightInd w:val="0"/>
        <w:snapToGrid w:val="0"/>
        <w:spacing w:before="120" w:beforeLines="50" w:after="120" w:afterLines="50" w:line="400" w:lineRule="exact"/>
        <w:jc w:val="center"/>
        <w:rPr>
          <w:rFonts w:ascii="方正黑体_GBK" w:hAnsi="Times New Roman" w:eastAsia="方正黑体_GBK"/>
          <w:b w:val="0"/>
          <w:szCs w:val="32"/>
        </w:rPr>
      </w:pPr>
      <w:r>
        <w:rPr>
          <w:rFonts w:hint="eastAsia" w:ascii="方正黑体_GBK" w:hAnsi="Times New Roman" w:eastAsia="方正黑体_GBK"/>
          <w:b w:val="0"/>
          <w:szCs w:val="32"/>
        </w:rPr>
        <w:t>2  规范性引用文件</w:t>
      </w:r>
    </w:p>
    <w:p>
      <w:pPr>
        <w:adjustRightInd w:val="0"/>
        <w:snapToGrid w:val="0"/>
        <w:spacing w:line="320" w:lineRule="exact"/>
        <w:ind w:firstLine="680" w:firstLineChars="200"/>
        <w:rPr>
          <w:rFonts w:eastAsiaTheme="minorEastAsia"/>
          <w:szCs w:val="21"/>
        </w:rPr>
      </w:pPr>
    </w:p>
    <w:p>
      <w:pPr>
        <w:pStyle w:val="99"/>
        <w:widowControl w:val="0"/>
        <w:spacing w:line="320" w:lineRule="exact"/>
        <w:ind w:firstLine="420"/>
        <w:rPr>
          <w:rFonts w:ascii="方正仿宋_GBK" w:eastAsia="方正仿宋_GBK"/>
          <w:szCs w:val="21"/>
        </w:rPr>
      </w:pPr>
      <w:r>
        <w:rPr>
          <w:rFonts w:hint="eastAsia" w:ascii="方正仿宋_GBK" w:eastAsia="方正仿宋_GBK" w:hAnsiTheme="minorEastAsia"/>
          <w:szCs w:val="21"/>
        </w:rPr>
        <w:t>下列文件对于本文件的应用是必不可少的。凡是注日期的引用文件，仅所注日期的版本适用于本文件。凡是不注日期的引用文件，其最新版本（包括所有的修改单）适用于本文件。</w:t>
      </w:r>
    </w:p>
    <w:p>
      <w:pPr>
        <w:pStyle w:val="99"/>
        <w:widowControl w:val="0"/>
        <w:spacing w:line="320" w:lineRule="exact"/>
        <w:ind w:firstLine="420"/>
        <w:rPr>
          <w:rFonts w:ascii="方正仿宋_GBK" w:eastAsia="方正仿宋_GBK"/>
          <w:szCs w:val="21"/>
        </w:rPr>
      </w:pP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175  通用硅酸盐水泥</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700  碳素结构钢</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1231  钢结构用高强度大六角头螺栓、大六角螺母、垫圈技术条件</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1499.1  钢筋混凝土用钢第一部分热轧光圆钢筋</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1499.2  钢筋混凝土用钢第二部分热轧带肋钢筋</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1591  低合金高强度结构钢</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3096    声环境质量标准</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3098.1～GB/T 3098.22  紧固件机械性能</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3280  不锈钢冷轧钢板和钢带</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3880.1～GB/T 3880.3  一般工业用铝合金板、带材</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5117  非合金钢及细晶粒钢焊条</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5118  热强钢焊条</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6892  一般工业用铝及铝合金热挤压型材</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GB/T 8923.1  涂覆涂料前钢材表面处理  表面清洁度的目视评定  第1部分：未涂覆过的钢材表面和全面清除原有涂层后的锈蚀等级和处理等级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9962    夹层玻璃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9963  钢化玻璃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19653   霓虹灯安装规范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13912  金属覆盖层  钢铁制件热浸镀锌层  技术要求及试验方法</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14957  熔化焊用钢丝</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18705  装饰用焊接不锈钢管</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36101  LED显示屏干扰光评价要求</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GB/T 35626  室外照明干扰光限制规范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50007    建筑地基基础设计规范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50009    建筑结构荷载规范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50010    混凝土结构设计规范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50011    建筑抗震设计规范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50017    钢结构设计标准</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50034    建筑照明设计标准</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50054    低压配电设计规范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50057    建筑物防雷设计规范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50169    电气装置安装工程 接地装置施工及验收规范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50202    建筑地基基础工程施工质量验收规范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50204    混凝土结构工程施工质量验收规范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50205    钢结构工程施工质量验收规范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GB 50303    建筑电气工程施工质量验收规范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GB/T 50621  钢结构现场检测技术标准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CJJ 149      城市户外广告设施技术规范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JGJ 16       民用建筑电气设计规范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JGJ 52       普通混凝土用砂、石质量及检验方法标准</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JGJ 55       普通混凝土配合比设计规程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JGJ 80       建筑施工高处作业安装技术规程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 xml:space="preserve">JGJ 145      混凝土结构后锚固技术规范 </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JGJ/T 163    城市夜景照明设计规范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DB50/T 234  重庆市城市夜景照明技术规范</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DB50/T 364  户外广告设施钢结构检测技术标准</w:t>
      </w:r>
    </w:p>
    <w:p>
      <w:pPr>
        <w:tabs>
          <w:tab w:val="center" w:pos="4201"/>
          <w:tab w:val="right" w:leader="dot" w:pos="9298"/>
        </w:tabs>
        <w:autoSpaceDE w:val="0"/>
        <w:autoSpaceDN w:val="0"/>
        <w:spacing w:line="320" w:lineRule="exact"/>
        <w:ind w:firstLine="420" w:firstLineChars="200"/>
        <w:rPr>
          <w:rFonts w:ascii="方正仿宋_GBK" w:eastAsia="方正仿宋_GBK"/>
          <w:color w:val="auto"/>
          <w:kern w:val="0"/>
          <w:sz w:val="21"/>
          <w:szCs w:val="21"/>
        </w:rPr>
      </w:pPr>
      <w:r>
        <w:rPr>
          <w:rFonts w:hint="eastAsia" w:ascii="方正仿宋_GBK" w:eastAsia="方正仿宋_GBK"/>
          <w:color w:val="auto"/>
          <w:kern w:val="0"/>
          <w:sz w:val="21"/>
          <w:szCs w:val="21"/>
        </w:rPr>
        <w:t>NDT105     霓虹灯（灯箱）广告工程技术标准 </w:t>
      </w:r>
    </w:p>
    <w:p>
      <w:pPr>
        <w:tabs>
          <w:tab w:val="center" w:pos="4201"/>
          <w:tab w:val="right" w:leader="dot" w:pos="9298"/>
        </w:tabs>
        <w:autoSpaceDE w:val="0"/>
        <w:autoSpaceDN w:val="0"/>
        <w:spacing w:line="320" w:lineRule="exact"/>
        <w:ind w:firstLine="420" w:firstLineChars="200"/>
        <w:rPr>
          <w:rFonts w:eastAsiaTheme="minorEastAsia"/>
          <w:color w:val="auto"/>
          <w:kern w:val="0"/>
          <w:sz w:val="21"/>
          <w:szCs w:val="21"/>
        </w:rPr>
      </w:pPr>
      <w:r>
        <w:rPr>
          <w:rFonts w:eastAsiaTheme="minorEastAsia"/>
          <w:color w:val="auto"/>
          <w:kern w:val="0"/>
          <w:sz w:val="21"/>
          <w:szCs w:val="21"/>
        </w:rPr>
        <w:br w:type="page"/>
      </w:r>
    </w:p>
    <w:p>
      <w:pPr>
        <w:pStyle w:val="4"/>
        <w:keepNext w:val="0"/>
        <w:keepLines w:val="0"/>
        <w:adjustRightInd w:val="0"/>
        <w:snapToGrid w:val="0"/>
        <w:spacing w:before="120" w:beforeLines="50" w:after="120" w:afterLines="50" w:line="400" w:lineRule="exact"/>
        <w:jc w:val="center"/>
        <w:rPr>
          <w:rFonts w:ascii="方正黑体_GBK" w:hAnsi="Times New Roman" w:eastAsia="方正黑体_GBK"/>
          <w:b w:val="0"/>
          <w:szCs w:val="32"/>
        </w:rPr>
      </w:pPr>
      <w:r>
        <w:rPr>
          <w:rFonts w:hint="eastAsia" w:ascii="方正黑体_GBK" w:hAnsi="Times New Roman" w:eastAsia="方正黑体_GBK"/>
          <w:b w:val="0"/>
          <w:szCs w:val="32"/>
        </w:rPr>
        <w:t>3  术语与定义</w:t>
      </w:r>
    </w:p>
    <w:p>
      <w:pPr>
        <w:spacing w:line="320" w:lineRule="exact"/>
        <w:ind w:firstLine="420" w:firstLineChars="200"/>
        <w:jc w:val="center"/>
        <w:rPr>
          <w:rFonts w:ascii="方正仿宋_GBK" w:eastAsia="方正仿宋_GBK"/>
          <w:color w:val="auto"/>
          <w:sz w:val="21"/>
          <w:szCs w:val="21"/>
        </w:rPr>
      </w:pPr>
      <w:r>
        <w:rPr>
          <w:rFonts w:hint="eastAsia" w:ascii="方正仿宋_GBK" w:eastAsia="方正仿宋_GBK"/>
          <w:color w:val="auto"/>
          <w:sz w:val="21"/>
          <w:szCs w:val="21"/>
        </w:rPr>
        <w:t>下列术语和定义仅适用于本标准。</w:t>
      </w:r>
    </w:p>
    <w:p>
      <w:pPr>
        <w:spacing w:line="280" w:lineRule="exact"/>
        <w:rPr>
          <w:rFonts w:ascii="方正仿宋_GBK" w:eastAsia="方正仿宋_GBK"/>
          <w:szCs w:val="21"/>
        </w:rPr>
      </w:pP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3.0.1</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户外广告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指在城市道路、公路、广场及建（构）筑物和交通工具外部等设置的面向城市户外公共空间的各种形式的商业广告和公益广告。</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3.0.2</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户外广告设施</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指利用建（构）筑物、场地设置的灯箱、霓虹灯、电子显示装置、展示牌、实物造型广告以及其它形式的向户外空间发布广告的设施。</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3.0.3</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独立式户外广告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指自身具有独立结构（高立柱广告，落地式灯箱广告等）支撑在地面上的户外广告。</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3.0.4</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附属式户外广告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指依附于建（构）筑物等设置的户外广告。</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3.0.5</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临时户外广告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指因大型文化、体育、商业活动和公益宣传需要，利用建（构）筑物、场地等设置的短期性（30天以内）户外广告。</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3.0.6</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流动户外广告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在车辆、船舶、飞艇、无人驾驶飞行器等可以移动的特殊载体上设置的户外广告，包括在本市通行的权籍登记在外省市的移动载体。</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3.0.7</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电子显示屏广告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以LED显示屏为主，通过电脑控制，显示不同文字、图像、视频等信息，有单色、双色和全彩等形式。</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3.0.8</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灯箱广告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箱体内置光源，广告画面置于光源前，有喷绘、写真、灯片等多种材料，分为单幅固定画面和多幅滚动画面两种形式。</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3.0.9</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霓虹灯广告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由霓虹灯技术制作而成的广告。</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3.0.10</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广告牌广告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即广告看板，一般将喷绘（写真）画面粘贴（或覆盖）在看板上。又分有外投灯和无外投灯两种。三面翻是看板广告牌的变化形式。</w:t>
      </w:r>
    </w:p>
    <w:p>
      <w:pPr>
        <w:spacing w:line="280" w:lineRule="exact"/>
        <w:rPr>
          <w:rFonts w:ascii="方正仿宋_GBK" w:eastAsia="方正仿宋_GBK"/>
          <w:b/>
          <w:color w:val="auto"/>
          <w:sz w:val="21"/>
          <w:szCs w:val="21"/>
        </w:rPr>
      </w:pPr>
      <w:r>
        <w:rPr>
          <w:rFonts w:hint="eastAsia" w:ascii="方正仿宋_GBK" w:eastAsia="方正仿宋_GBK"/>
          <w:b/>
          <w:color w:val="auto"/>
          <w:sz w:val="21"/>
          <w:szCs w:val="21"/>
        </w:rPr>
        <w:t>3.0.11</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充气广告</w:t>
      </w:r>
    </w:p>
    <w:p>
      <w:pPr>
        <w:spacing w:line="280" w:lineRule="exact"/>
        <w:ind w:firstLine="420" w:firstLineChars="200"/>
        <w:rPr>
          <w:rFonts w:ascii="方正仿宋_GBK" w:eastAsia="方正仿宋_GBK"/>
          <w:color w:val="auto"/>
          <w:sz w:val="21"/>
          <w:szCs w:val="21"/>
        </w:rPr>
      </w:pPr>
      <w:r>
        <w:rPr>
          <w:rFonts w:hint="eastAsia" w:ascii="方正仿宋_GBK" w:eastAsia="方正仿宋_GBK"/>
          <w:color w:val="auto"/>
          <w:sz w:val="21"/>
          <w:szCs w:val="21"/>
        </w:rPr>
        <w:t>各种造型充气载体广告，多为临时性广告。 </w:t>
      </w:r>
    </w:p>
    <w:p>
      <w:pPr>
        <w:spacing w:line="320" w:lineRule="exact"/>
        <w:ind w:firstLine="420" w:firstLineChars="200"/>
        <w:rPr>
          <w:rFonts w:eastAsiaTheme="minorEastAsia"/>
          <w:color w:val="auto"/>
          <w:sz w:val="21"/>
          <w:szCs w:val="21"/>
        </w:rPr>
      </w:pPr>
      <w:r>
        <w:rPr>
          <w:rFonts w:eastAsiaTheme="minorEastAsia"/>
          <w:color w:val="auto"/>
          <w:sz w:val="21"/>
          <w:szCs w:val="21"/>
        </w:rPr>
        <w:br w:type="page"/>
      </w:r>
    </w:p>
    <w:p>
      <w:pPr>
        <w:pStyle w:val="4"/>
        <w:keepNext w:val="0"/>
        <w:keepLines w:val="0"/>
        <w:adjustRightInd w:val="0"/>
        <w:snapToGrid w:val="0"/>
        <w:spacing w:before="120" w:beforeLines="50" w:after="120" w:afterLines="50" w:line="400" w:lineRule="exact"/>
        <w:jc w:val="center"/>
        <w:rPr>
          <w:rFonts w:ascii="方正黑体_GBK" w:hAnsi="Times New Roman" w:eastAsia="方正黑体_GBK"/>
          <w:b w:val="0"/>
          <w:szCs w:val="32"/>
        </w:rPr>
      </w:pPr>
      <w:r>
        <w:rPr>
          <w:rFonts w:hint="eastAsia" w:ascii="方正黑体_GBK" w:hAnsi="Times New Roman" w:eastAsia="方正黑体_GBK"/>
          <w:b w:val="0"/>
          <w:szCs w:val="32"/>
        </w:rPr>
        <w:t xml:space="preserve">4  </w:t>
      </w:r>
      <w:bookmarkStart w:id="45" w:name="_Toc20663698"/>
      <w:bookmarkStart w:id="46" w:name="_Toc17388205"/>
      <w:r>
        <w:rPr>
          <w:rFonts w:hint="eastAsia" w:ascii="方正黑体_GBK" w:hAnsi="Times New Roman" w:eastAsia="方正黑体_GBK"/>
          <w:b w:val="0"/>
          <w:szCs w:val="32"/>
        </w:rPr>
        <w:t>设置要求</w:t>
      </w:r>
      <w:bookmarkEnd w:id="45"/>
      <w:bookmarkEnd w:id="46"/>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4.1  </w:t>
      </w:r>
      <w:r>
        <w:rPr>
          <w:rFonts w:hint="eastAsia" w:ascii="方正楷体_GBK" w:hAnsi="Times New Roman" w:eastAsia="方正楷体_GBK"/>
          <w:b w:val="0"/>
          <w:sz w:val="21"/>
          <w:szCs w:val="21"/>
        </w:rPr>
        <w:t>一般规定</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4.1.1  </w:t>
      </w:r>
      <w:r>
        <w:rPr>
          <w:rFonts w:hint="eastAsia" w:ascii="方正仿宋_GBK" w:eastAsia="方正仿宋_GBK" w:hAnsiTheme="minorEastAsia"/>
          <w:szCs w:val="21"/>
        </w:rPr>
        <w:t>应符合法律法规及国家和重庆市户外广告设置规划。</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4.1.2 </w:t>
      </w:r>
      <w:r>
        <w:rPr>
          <w:rFonts w:hint="eastAsia" w:ascii="方正仿宋_GBK" w:eastAsia="方正仿宋_GBK"/>
          <w:szCs w:val="21"/>
        </w:rPr>
        <w:t xml:space="preserve"> </w:t>
      </w:r>
      <w:r>
        <w:rPr>
          <w:rFonts w:hint="eastAsia" w:ascii="方正仿宋_GBK" w:eastAsia="方正仿宋_GBK" w:hAnsiTheme="minorEastAsia"/>
          <w:szCs w:val="21"/>
        </w:rPr>
        <w:t>应保证设施安全，并及时维护、保养和更新，按期进行安全检查。</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4.1.3 </w:t>
      </w:r>
      <w:r>
        <w:rPr>
          <w:rFonts w:hint="eastAsia" w:ascii="方正仿宋_GBK" w:eastAsia="方正仿宋_GBK"/>
          <w:szCs w:val="21"/>
        </w:rPr>
        <w:t xml:space="preserve"> </w:t>
      </w:r>
      <w:r>
        <w:rPr>
          <w:rFonts w:hint="eastAsia" w:ascii="方正仿宋_GBK" w:eastAsia="方正仿宋_GBK" w:hAnsiTheme="minorEastAsia"/>
          <w:szCs w:val="21"/>
        </w:rPr>
        <w:t>应保证与区域环境相协调，注重昼夜景观效果，不得损害建筑物、街景和城市轮廓线的重要特征，不得破坏所依附载体的整体效果。</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4.1.4</w:t>
      </w:r>
      <w:r>
        <w:rPr>
          <w:rFonts w:hint="eastAsia" w:ascii="方正仿宋_GBK" w:eastAsia="方正仿宋_GBK"/>
          <w:szCs w:val="21"/>
        </w:rPr>
        <w:t xml:space="preserve">  </w:t>
      </w:r>
      <w:r>
        <w:rPr>
          <w:rFonts w:hint="eastAsia" w:ascii="方正仿宋_GBK" w:eastAsia="方正仿宋_GBK" w:hAnsiTheme="minorEastAsia"/>
          <w:szCs w:val="21"/>
        </w:rPr>
        <w:t>不得影响所依附载体的使用功能，不得影响交通信号、交通标志等道路交通管理设施的有效视认。</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4.1.5</w:t>
      </w:r>
      <w:r>
        <w:rPr>
          <w:rFonts w:hint="eastAsia" w:ascii="方正仿宋_GBK" w:eastAsia="方正仿宋_GBK"/>
          <w:szCs w:val="21"/>
        </w:rPr>
        <w:t xml:space="preserve">  </w:t>
      </w:r>
      <w:r>
        <w:rPr>
          <w:rFonts w:hint="eastAsia" w:ascii="方正仿宋_GBK" w:eastAsia="方正仿宋_GBK" w:hAnsiTheme="minorEastAsia"/>
          <w:szCs w:val="21"/>
        </w:rPr>
        <w:t>宜与主体建筑同时设计、同时施工。应符合节能与生态环保要求，提倡标准化生产，鼓励新技术、新工艺的应用。</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4.1.6</w:t>
      </w:r>
      <w:r>
        <w:rPr>
          <w:rFonts w:hint="eastAsia" w:ascii="方正仿宋_GBK" w:eastAsia="方正仿宋_GBK"/>
          <w:szCs w:val="21"/>
        </w:rPr>
        <w:t xml:space="preserve">  </w:t>
      </w:r>
      <w:r>
        <w:rPr>
          <w:rFonts w:hint="eastAsia" w:ascii="方正仿宋_GBK" w:eastAsia="方正仿宋_GBK" w:hAnsiTheme="minorEastAsia"/>
          <w:szCs w:val="21"/>
        </w:rPr>
        <w:t>广告位招商期间应以公益广告进行覆盖。户外广告招商内容可以与公益广告同时发布，但招商内容只能位于公益广告下方，所占面积不得超过该户外广告面积的</w:t>
      </w:r>
      <w:r>
        <w:rPr>
          <w:rFonts w:hint="eastAsia" w:ascii="方正仿宋_GBK" w:eastAsia="方正仿宋_GBK"/>
          <w:szCs w:val="21"/>
        </w:rPr>
        <w:t>20%</w:t>
      </w:r>
      <w:r>
        <w:rPr>
          <w:rFonts w:hint="eastAsia" w:ascii="方正仿宋_GBK" w:eastAsia="方正仿宋_GBK" w:hAnsiTheme="minorEastAsia"/>
          <w:szCs w:val="21"/>
        </w:rPr>
        <w:t>。</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sz w:val="21"/>
          <w:szCs w:val="21"/>
        </w:rPr>
      </w:pPr>
      <w:r>
        <w:rPr>
          <w:rFonts w:hint="eastAsia" w:ascii="方正楷体_GBK" w:hAnsi="Times New Roman" w:eastAsia="方正楷体_GBK"/>
          <w:sz w:val="21"/>
          <w:szCs w:val="21"/>
        </w:rPr>
        <w:t xml:space="preserve">4.2  </w:t>
      </w:r>
      <w:r>
        <w:rPr>
          <w:rFonts w:hint="eastAsia" w:ascii="方正楷体_GBK" w:hAnsi="Times New Roman" w:eastAsia="方正楷体_GBK"/>
          <w:b w:val="0"/>
          <w:sz w:val="21"/>
          <w:szCs w:val="21"/>
        </w:rPr>
        <w:t>不得设置户外广告的情形</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  </w:t>
      </w:r>
      <w:r>
        <w:rPr>
          <w:rFonts w:hint="eastAsia" w:ascii="方正仿宋_GBK" w:eastAsia="方正仿宋_GBK" w:hAnsiTheme="minorEastAsia"/>
          <w:szCs w:val="21"/>
        </w:rPr>
        <w:t>影响公共安全的户外广告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4.2.1.1 </w:t>
      </w:r>
      <w:r>
        <w:rPr>
          <w:rFonts w:hint="eastAsia" w:ascii="方正仿宋_GBK" w:eastAsia="方正仿宋_GBK"/>
          <w:szCs w:val="21"/>
        </w:rPr>
        <w:t xml:space="preserve"> </w:t>
      </w:r>
      <w:r>
        <w:rPr>
          <w:rFonts w:hint="eastAsia" w:ascii="方正仿宋_GBK" w:eastAsia="方正仿宋_GBK" w:hAnsiTheme="minorEastAsia"/>
          <w:szCs w:val="21"/>
        </w:rPr>
        <w:t>占用城市道路空间设置独立式户外广告，包括：</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在城市道路红线</w:t>
      </w:r>
      <w:r>
        <w:rPr>
          <w:rFonts w:hint="eastAsia" w:ascii="方正仿宋_GBK" w:eastAsia="方正仿宋_GBK"/>
          <w:szCs w:val="21"/>
        </w:rPr>
        <w:t>（</w:t>
      </w:r>
      <w:r>
        <w:rPr>
          <w:rFonts w:hint="eastAsia" w:ascii="方正仿宋_GBK" w:eastAsia="方正仿宋_GBK" w:hAnsiTheme="minorEastAsia"/>
          <w:szCs w:val="21"/>
        </w:rPr>
        <w:t>包括人行道、车行道、车行分隔带、路边停车带、绿化隔离带等区域</w:t>
      </w:r>
      <w:r>
        <w:rPr>
          <w:rFonts w:hint="eastAsia" w:ascii="方正仿宋_GBK" w:eastAsia="方正仿宋_GBK"/>
          <w:szCs w:val="21"/>
        </w:rPr>
        <w:t>）</w:t>
      </w:r>
      <w:r>
        <w:rPr>
          <w:rFonts w:hint="eastAsia" w:ascii="方正仿宋_GBK" w:eastAsia="方正仿宋_GBK" w:hAnsiTheme="minorEastAsia"/>
          <w:szCs w:val="21"/>
        </w:rPr>
        <w:t>内设置的</w:t>
      </w:r>
      <w:r>
        <w:rPr>
          <w:rFonts w:hint="eastAsia" w:ascii="方正仿宋_GBK" w:eastAsia="方正仿宋_GBK"/>
          <w:szCs w:val="21"/>
        </w:rPr>
        <w:t>（</w:t>
      </w:r>
      <w:r>
        <w:rPr>
          <w:rFonts w:hint="eastAsia" w:ascii="方正仿宋_GBK" w:eastAsia="方正仿宋_GBK" w:hAnsiTheme="minorEastAsia"/>
          <w:szCs w:val="21"/>
        </w:rPr>
        <w:t>快速路、步行街除外</w:t>
      </w:r>
      <w:r>
        <w:rPr>
          <w:rFonts w:hint="eastAsia" w:ascii="方正仿宋_GBK" w:eastAsia="方正仿宋_GBK"/>
          <w:szCs w:val="21"/>
        </w:rPr>
        <w:t>）</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pacing w:val="6"/>
          <w:szCs w:val="21"/>
        </w:rPr>
        <w:t>跨越道路或延伸至机动车道、非机动车道上方空间设置的</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4.2.1.2 </w:t>
      </w:r>
      <w:r>
        <w:rPr>
          <w:rFonts w:hint="eastAsia" w:ascii="方正仿宋_GBK" w:eastAsia="方正仿宋_GBK"/>
          <w:szCs w:val="21"/>
        </w:rPr>
        <w:t xml:space="preserve"> </w:t>
      </w:r>
      <w:r>
        <w:rPr>
          <w:rFonts w:hint="eastAsia" w:ascii="方正仿宋_GBK" w:eastAsia="方正仿宋_GBK" w:hAnsiTheme="minorEastAsia"/>
          <w:szCs w:val="21"/>
        </w:rPr>
        <w:t>利用市政道路设施、市政交通设施、市政公共设施设置的，包括：</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人行天桥、桥梁、高架道路、高架轨道</w:t>
      </w:r>
      <w:r>
        <w:rPr>
          <w:rFonts w:hint="eastAsia" w:ascii="方正仿宋_GBK" w:eastAsia="方正仿宋_GBK"/>
          <w:szCs w:val="21"/>
        </w:rPr>
        <w:t>（</w:t>
      </w:r>
      <w:r>
        <w:rPr>
          <w:rFonts w:hint="eastAsia" w:ascii="方正仿宋_GBK" w:eastAsia="方正仿宋_GBK" w:hAnsiTheme="minorEastAsia"/>
          <w:szCs w:val="21"/>
        </w:rPr>
        <w:t>轨道交通站点区域除外</w:t>
      </w:r>
      <w:r>
        <w:rPr>
          <w:rFonts w:hint="eastAsia" w:ascii="方正仿宋_GBK" w:eastAsia="方正仿宋_GBK"/>
          <w:szCs w:val="21"/>
        </w:rPr>
        <w:t>）</w:t>
      </w:r>
      <w:r>
        <w:rPr>
          <w:rFonts w:hint="eastAsia" w:ascii="方正仿宋_GBK" w:eastAsia="方正仿宋_GBK" w:hAnsiTheme="minorEastAsia"/>
          <w:szCs w:val="21"/>
        </w:rPr>
        <w:t>本体</w:t>
      </w:r>
      <w:r>
        <w:rPr>
          <w:rFonts w:hint="eastAsia" w:ascii="方正仿宋_GBK" w:eastAsia="方正仿宋_GBK"/>
          <w:szCs w:val="21"/>
        </w:rPr>
        <w:t>（</w:t>
      </w:r>
      <w:r>
        <w:rPr>
          <w:rFonts w:hint="eastAsia" w:ascii="方正仿宋_GBK" w:eastAsia="方正仿宋_GBK" w:hAnsiTheme="minorEastAsia"/>
          <w:szCs w:val="21"/>
        </w:rPr>
        <w:t>包括桥墩、附属楼梯、电梯及其护栏、隔音墙</w:t>
      </w:r>
      <w:r>
        <w:rPr>
          <w:rFonts w:hint="eastAsia" w:ascii="方正仿宋_GBK" w:eastAsia="方正仿宋_GBK"/>
          <w:szCs w:val="21"/>
        </w:rPr>
        <w:t>（</w:t>
      </w:r>
      <w:r>
        <w:rPr>
          <w:rFonts w:hint="eastAsia" w:ascii="方正仿宋_GBK" w:eastAsia="方正仿宋_GBK" w:hAnsiTheme="minorEastAsia"/>
          <w:szCs w:val="21"/>
        </w:rPr>
        <w:t>隔音窗</w:t>
      </w:r>
      <w:r>
        <w:rPr>
          <w:rFonts w:hint="eastAsia" w:ascii="方正仿宋_GBK" w:eastAsia="方正仿宋_GBK"/>
          <w:szCs w:val="21"/>
        </w:rPr>
        <w:t>）</w:t>
      </w:r>
      <w:r>
        <w:rPr>
          <w:rFonts w:hint="eastAsia" w:ascii="方正仿宋_GBK" w:eastAsia="方正仿宋_GBK" w:hAnsiTheme="minorEastAsia"/>
          <w:szCs w:val="21"/>
        </w:rPr>
        <w:t>、防撞墙等</w:t>
      </w:r>
      <w:r>
        <w:rPr>
          <w:rFonts w:hint="eastAsia" w:ascii="方正仿宋_GBK" w:eastAsia="方正仿宋_GBK"/>
          <w:szCs w:val="21"/>
        </w:rPr>
        <w:t>）</w:t>
      </w:r>
      <w:r>
        <w:rPr>
          <w:rFonts w:hint="eastAsia" w:ascii="方正仿宋_GBK" w:eastAsia="方正仿宋_GBK" w:hAnsiTheme="minorEastAsia"/>
          <w:szCs w:val="21"/>
        </w:rPr>
        <w:t>；道路、桥梁、隧道管理口</w:t>
      </w:r>
      <w:r>
        <w:rPr>
          <w:rFonts w:hint="eastAsia" w:ascii="方正仿宋_GBK" w:eastAsia="方正仿宋_GBK"/>
          <w:szCs w:val="21"/>
        </w:rPr>
        <w:t>（</w:t>
      </w:r>
      <w:r>
        <w:rPr>
          <w:rFonts w:hint="eastAsia" w:ascii="方正仿宋_GBK" w:eastAsia="方正仿宋_GBK" w:hAnsiTheme="minorEastAsia"/>
          <w:szCs w:val="21"/>
        </w:rPr>
        <w:t>含收费口</w:t>
      </w:r>
      <w:r>
        <w:rPr>
          <w:rFonts w:hint="eastAsia" w:ascii="方正仿宋_GBK" w:eastAsia="方正仿宋_GBK"/>
          <w:szCs w:val="21"/>
        </w:rPr>
        <w:t>）</w:t>
      </w:r>
      <w:r>
        <w:rPr>
          <w:rFonts w:hint="eastAsia" w:ascii="方正仿宋_GBK" w:eastAsia="方正仿宋_GBK" w:hAnsiTheme="minorEastAsia"/>
          <w:szCs w:val="21"/>
        </w:rPr>
        <w:t>建筑本体；地铁排风口及地面设施用房；以及其它市政道路设施。</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交通信号设施、交通指示设施</w:t>
      </w:r>
      <w:r>
        <w:rPr>
          <w:rFonts w:hint="eastAsia" w:ascii="方正仿宋_GBK" w:eastAsia="方正仿宋_GBK"/>
          <w:szCs w:val="21"/>
        </w:rPr>
        <w:t>（</w:t>
      </w:r>
      <w:r>
        <w:rPr>
          <w:rFonts w:hint="eastAsia" w:ascii="方正仿宋_GBK" w:eastAsia="方正仿宋_GBK" w:hAnsiTheme="minorEastAsia"/>
          <w:szCs w:val="21"/>
        </w:rPr>
        <w:t>包括道路铭牌、轨道交通标志、指路牌、指示牌、停车指示牌等</w:t>
      </w:r>
      <w:r>
        <w:rPr>
          <w:rFonts w:hint="eastAsia" w:ascii="方正仿宋_GBK" w:eastAsia="方正仿宋_GBK"/>
          <w:szCs w:val="21"/>
        </w:rPr>
        <w:t>）</w:t>
      </w:r>
      <w:r>
        <w:rPr>
          <w:rFonts w:hint="eastAsia" w:ascii="方正仿宋_GBK" w:eastAsia="方正仿宋_GBK" w:hAnsiTheme="minorEastAsia"/>
          <w:szCs w:val="21"/>
        </w:rPr>
        <w:t>；交通执勤岗设施，以及其它交通安全设施和交通标志。</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公共信息导向标志、标识。</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电力、给水、排水、燃气、邮政、环卫、消防等市政公共设施，包括：变电站、变电箱、电线杆</w:t>
      </w:r>
      <w:r>
        <w:rPr>
          <w:rFonts w:hint="eastAsia" w:ascii="方正仿宋_GBK" w:eastAsia="方正仿宋_GBK"/>
          <w:szCs w:val="21"/>
        </w:rPr>
        <w:t>（</w:t>
      </w:r>
      <w:r>
        <w:rPr>
          <w:rFonts w:hint="eastAsia" w:ascii="方正仿宋_GBK" w:eastAsia="方正仿宋_GBK" w:hAnsiTheme="minorEastAsia"/>
          <w:szCs w:val="21"/>
        </w:rPr>
        <w:t>路灯杆除外</w:t>
      </w:r>
      <w:r>
        <w:rPr>
          <w:rFonts w:hint="eastAsia" w:ascii="方正仿宋_GBK" w:eastAsia="方正仿宋_GBK"/>
          <w:szCs w:val="21"/>
        </w:rPr>
        <w:t>）</w:t>
      </w:r>
      <w:r>
        <w:rPr>
          <w:rFonts w:hint="eastAsia" w:ascii="方正仿宋_GBK" w:eastAsia="方正仿宋_GBK" w:hAnsiTheme="minorEastAsia"/>
          <w:szCs w:val="21"/>
        </w:rPr>
        <w:t>、泵站、高架水箱、污水管道排气口、调压站、邮筒、垃圾收集点、垃圾转运站、垃圾箱、消防栓、消防箱等各自的地面管线、支撑杆件、交变设施等。</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4.2.1.3 </w:t>
      </w:r>
      <w:r>
        <w:rPr>
          <w:rFonts w:hint="eastAsia" w:ascii="方正仿宋_GBK" w:eastAsia="方正仿宋_GBK"/>
          <w:szCs w:val="21"/>
        </w:rPr>
        <w:t xml:space="preserve"> </w:t>
      </w:r>
      <w:r>
        <w:rPr>
          <w:rFonts w:hint="eastAsia" w:ascii="方正仿宋_GBK" w:eastAsia="方正仿宋_GBK" w:hAnsiTheme="minorEastAsia"/>
          <w:szCs w:val="21"/>
        </w:rPr>
        <w:t>影响市政道路设施、市政交通设施、市政公共设施使用的</w:t>
      </w:r>
      <w:r>
        <w:rPr>
          <w:rFonts w:hint="eastAsia" w:ascii="方正仿宋_GBK" w:eastAsia="方正仿宋_GBK"/>
          <w:szCs w:val="21"/>
        </w:rPr>
        <w:t>，</w:t>
      </w:r>
      <w:r>
        <w:rPr>
          <w:rFonts w:hint="eastAsia" w:ascii="方正仿宋_GBK" w:eastAsia="方正仿宋_GBK" w:hAnsiTheme="minorEastAsia"/>
          <w:szCs w:val="21"/>
        </w:rPr>
        <w:t>包括：</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人行天桥、过街地道、轨交站点出入口</w:t>
      </w:r>
      <w:r>
        <w:rPr>
          <w:rFonts w:hint="eastAsia" w:ascii="方正仿宋_GBK" w:eastAsia="方正仿宋_GBK"/>
          <w:szCs w:val="21"/>
        </w:rPr>
        <w:t>5m</w:t>
      </w:r>
      <w:r>
        <w:rPr>
          <w:rFonts w:hint="eastAsia" w:ascii="方正仿宋_GBK" w:eastAsia="方正仿宋_GBK" w:hAnsiTheme="minorEastAsia"/>
          <w:szCs w:val="21"/>
        </w:rPr>
        <w:t>范围内设置独立式户外广告的。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公路管理口</w:t>
      </w:r>
      <w:r>
        <w:rPr>
          <w:rFonts w:hint="eastAsia" w:ascii="方正仿宋_GBK" w:eastAsia="方正仿宋_GBK"/>
          <w:szCs w:val="21"/>
        </w:rPr>
        <w:t>（</w:t>
      </w:r>
      <w:r>
        <w:rPr>
          <w:rFonts w:hint="eastAsia" w:ascii="方正仿宋_GBK" w:eastAsia="方正仿宋_GBK" w:hAnsiTheme="minorEastAsia"/>
          <w:szCs w:val="21"/>
        </w:rPr>
        <w:t>含收费口</w:t>
      </w:r>
      <w:r>
        <w:rPr>
          <w:rFonts w:hint="eastAsia" w:ascii="方正仿宋_GBK" w:eastAsia="方正仿宋_GBK"/>
          <w:szCs w:val="21"/>
        </w:rPr>
        <w:t>）</w:t>
      </w:r>
      <w:r>
        <w:rPr>
          <w:rFonts w:hint="eastAsia" w:ascii="方正仿宋_GBK" w:eastAsia="方正仿宋_GBK" w:hAnsiTheme="minorEastAsia"/>
          <w:szCs w:val="21"/>
        </w:rPr>
        <w:t>区域、高架道路落地匝道、隧道出入口</w:t>
      </w:r>
      <w:r>
        <w:rPr>
          <w:rFonts w:hint="eastAsia" w:ascii="方正仿宋_GBK" w:eastAsia="方正仿宋_GBK"/>
          <w:szCs w:val="21"/>
        </w:rPr>
        <w:t>30m</w:t>
      </w:r>
      <w:r>
        <w:rPr>
          <w:rFonts w:hint="eastAsia" w:ascii="方正仿宋_GBK" w:eastAsia="方正仿宋_GBK" w:hAnsiTheme="minorEastAsia"/>
          <w:szCs w:val="21"/>
        </w:rPr>
        <w:t>范围内设置的。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交通信号设施和交通指示设施、公交站亭</w:t>
      </w:r>
      <w:r>
        <w:rPr>
          <w:rFonts w:hint="eastAsia" w:ascii="方正仿宋_GBK" w:eastAsia="方正仿宋_GBK"/>
          <w:szCs w:val="21"/>
        </w:rPr>
        <w:t>（</w:t>
      </w:r>
      <w:r>
        <w:rPr>
          <w:rFonts w:hint="eastAsia" w:ascii="方正仿宋_GBK" w:eastAsia="方正仿宋_GBK" w:hAnsiTheme="minorEastAsia"/>
          <w:szCs w:val="21"/>
        </w:rPr>
        <w:t>自身附属广告除外</w:t>
      </w:r>
      <w:r>
        <w:rPr>
          <w:rFonts w:hint="eastAsia" w:ascii="方正仿宋_GBK" w:eastAsia="方正仿宋_GBK"/>
          <w:szCs w:val="21"/>
        </w:rPr>
        <w:t>）</w:t>
      </w:r>
      <w:r>
        <w:rPr>
          <w:rFonts w:hint="eastAsia" w:ascii="方正仿宋_GBK" w:eastAsia="方正仿宋_GBK" w:hAnsiTheme="minorEastAsia"/>
          <w:szCs w:val="21"/>
        </w:rPr>
        <w:t>、公交站牌</w:t>
      </w:r>
      <w:r>
        <w:rPr>
          <w:rFonts w:hint="eastAsia" w:ascii="方正仿宋_GBK" w:eastAsia="方正仿宋_GBK"/>
          <w:szCs w:val="21"/>
        </w:rPr>
        <w:t>5m</w:t>
      </w:r>
      <w:r>
        <w:rPr>
          <w:rFonts w:hint="eastAsia" w:ascii="方正仿宋_GBK" w:eastAsia="方正仿宋_GBK" w:hAnsiTheme="minorEastAsia"/>
          <w:szCs w:val="21"/>
        </w:rPr>
        <w:t>范围内设置的。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各类地下管线、架空线及其它生命线工程安全保护范围内设置独立式户外广告的。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5</w:t>
      </w:r>
      <w:r>
        <w:rPr>
          <w:rFonts w:hint="eastAsia" w:ascii="方正仿宋_GBK" w:eastAsia="方正仿宋_GBK" w:hAnsiTheme="minorEastAsia"/>
          <w:b/>
          <w:szCs w:val="21"/>
        </w:rPr>
        <w:t>）</w:t>
      </w:r>
      <w:r>
        <w:rPr>
          <w:rFonts w:hint="eastAsia" w:ascii="方正仿宋_GBK" w:eastAsia="方正仿宋_GBK" w:hAnsiTheme="minorEastAsia"/>
          <w:szCs w:val="21"/>
        </w:rPr>
        <w:t>隧道和桥梁的建设控制范围内设置高立柱户外广告的。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6</w:t>
      </w:r>
      <w:r>
        <w:rPr>
          <w:rFonts w:hint="eastAsia" w:ascii="方正仿宋_GBK" w:eastAsia="方正仿宋_GBK" w:hAnsiTheme="minorEastAsia"/>
          <w:b/>
          <w:szCs w:val="21"/>
        </w:rPr>
        <w:t>）</w:t>
      </w:r>
      <w:r>
        <w:rPr>
          <w:rFonts w:hint="eastAsia" w:ascii="方正仿宋_GBK" w:eastAsia="方正仿宋_GBK" w:hAnsiTheme="minorEastAsia"/>
          <w:szCs w:val="21"/>
        </w:rPr>
        <w:t>在城市中心区设置高立柱</w:t>
      </w:r>
      <w:r>
        <w:rPr>
          <w:rFonts w:hint="eastAsia" w:ascii="方正仿宋_GBK" w:eastAsia="方正仿宋_GBK"/>
          <w:szCs w:val="21"/>
        </w:rPr>
        <w:t>T</w:t>
      </w:r>
      <w:r>
        <w:rPr>
          <w:rFonts w:hint="eastAsia" w:ascii="方正仿宋_GBK" w:eastAsia="方正仿宋_GBK" w:hAnsiTheme="minorEastAsia"/>
          <w:szCs w:val="21"/>
        </w:rPr>
        <w:t>型牌广告的。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7</w:t>
      </w:r>
      <w:r>
        <w:rPr>
          <w:rFonts w:hint="eastAsia" w:ascii="方正仿宋_GBK" w:eastAsia="方正仿宋_GBK" w:hAnsiTheme="minorEastAsia"/>
          <w:b/>
          <w:szCs w:val="21"/>
        </w:rPr>
        <w:t>）</w:t>
      </w:r>
      <w:r>
        <w:rPr>
          <w:rFonts w:hint="eastAsia" w:ascii="方正仿宋_GBK" w:eastAsia="方正仿宋_GBK" w:hAnsiTheme="minorEastAsia"/>
          <w:szCs w:val="21"/>
        </w:rPr>
        <w:t>其它影响市政道路设施、市政交通设施、市政公共设施使用的情形。</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4.2.1.4 </w:t>
      </w:r>
      <w:r>
        <w:rPr>
          <w:rFonts w:hint="eastAsia" w:ascii="方正仿宋_GBK" w:eastAsia="方正仿宋_GBK"/>
          <w:szCs w:val="21"/>
        </w:rPr>
        <w:t xml:space="preserve"> </w:t>
      </w:r>
      <w:r>
        <w:rPr>
          <w:rFonts w:hint="eastAsia" w:ascii="方正仿宋_GBK" w:eastAsia="方正仿宋_GBK" w:hAnsiTheme="minorEastAsia"/>
          <w:szCs w:val="21"/>
        </w:rPr>
        <w:t>影响交通安全的其它情况，包括：</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大量人流集散的公共建筑出入口两侧各</w:t>
      </w:r>
      <w:r>
        <w:rPr>
          <w:rFonts w:hint="eastAsia" w:ascii="方正仿宋_GBK" w:eastAsia="方正仿宋_GBK"/>
          <w:szCs w:val="21"/>
        </w:rPr>
        <w:t>5m</w:t>
      </w:r>
      <w:r>
        <w:rPr>
          <w:rFonts w:hint="eastAsia" w:ascii="方正仿宋_GBK" w:eastAsia="方正仿宋_GBK" w:hAnsiTheme="minorEastAsia"/>
          <w:szCs w:val="21"/>
        </w:rPr>
        <w:t>范围内设独立式户外广告的。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朝向隧道出口处设置电子显示屏的。</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pacing w:val="4"/>
          <w:szCs w:val="21"/>
        </w:rPr>
        <w:t>高架道路桥身</w:t>
      </w:r>
      <w:r>
        <w:rPr>
          <w:rFonts w:hint="eastAsia" w:ascii="方正仿宋_GBK" w:eastAsia="方正仿宋_GBK"/>
          <w:spacing w:val="4"/>
          <w:szCs w:val="21"/>
        </w:rPr>
        <w:t>（</w:t>
      </w:r>
      <w:r>
        <w:rPr>
          <w:rFonts w:hint="eastAsia" w:ascii="方正仿宋_GBK" w:eastAsia="方正仿宋_GBK" w:hAnsiTheme="minorEastAsia"/>
          <w:spacing w:val="4"/>
          <w:szCs w:val="21"/>
        </w:rPr>
        <w:t>包括匝道</w:t>
      </w:r>
      <w:r>
        <w:rPr>
          <w:rFonts w:hint="eastAsia" w:ascii="方正仿宋_GBK" w:eastAsia="方正仿宋_GBK"/>
          <w:spacing w:val="4"/>
          <w:szCs w:val="21"/>
        </w:rPr>
        <w:t>）</w:t>
      </w:r>
      <w:r>
        <w:rPr>
          <w:rFonts w:hint="eastAsia" w:ascii="方正仿宋_GBK" w:eastAsia="方正仿宋_GBK" w:hAnsiTheme="minorEastAsia"/>
          <w:spacing w:val="4"/>
          <w:szCs w:val="21"/>
        </w:rPr>
        <w:t>投影线以外</w:t>
      </w:r>
      <w:r>
        <w:rPr>
          <w:rFonts w:hint="eastAsia" w:ascii="方正仿宋_GBK" w:eastAsia="方正仿宋_GBK"/>
          <w:spacing w:val="4"/>
          <w:szCs w:val="21"/>
        </w:rPr>
        <w:t>16m</w:t>
      </w:r>
      <w:r>
        <w:rPr>
          <w:rFonts w:hint="eastAsia" w:ascii="方正仿宋_GBK" w:eastAsia="方正仿宋_GBK" w:hAnsiTheme="minorEastAsia"/>
          <w:spacing w:val="4"/>
          <w:szCs w:val="21"/>
        </w:rPr>
        <w:t>范围内设置的</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道路交叉口视线三角形范围内设置的。</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4.2.1.5  </w:t>
      </w:r>
      <w:r>
        <w:rPr>
          <w:rFonts w:hint="eastAsia" w:ascii="方正仿宋_GBK" w:eastAsia="方正仿宋_GBK" w:hAnsiTheme="minorEastAsia"/>
          <w:szCs w:val="21"/>
        </w:rPr>
        <w:t>影响建</w:t>
      </w:r>
      <w:r>
        <w:rPr>
          <w:rFonts w:hint="eastAsia" w:ascii="方正仿宋_GBK" w:eastAsia="方正仿宋_GBK"/>
          <w:szCs w:val="21"/>
        </w:rPr>
        <w:t>（</w:t>
      </w:r>
      <w:r>
        <w:rPr>
          <w:rFonts w:hint="eastAsia" w:ascii="方正仿宋_GBK" w:eastAsia="方正仿宋_GBK" w:hAnsiTheme="minorEastAsia"/>
          <w:szCs w:val="21"/>
        </w:rPr>
        <w:t>构</w:t>
      </w:r>
      <w:r>
        <w:rPr>
          <w:rFonts w:hint="eastAsia" w:ascii="方正仿宋_GBK" w:eastAsia="方正仿宋_GBK"/>
          <w:szCs w:val="21"/>
        </w:rPr>
        <w:t>）</w:t>
      </w:r>
      <w:r>
        <w:rPr>
          <w:rFonts w:hint="eastAsia" w:ascii="方正仿宋_GBK" w:eastAsia="方正仿宋_GBK" w:hAnsiTheme="minorEastAsia"/>
          <w:szCs w:val="21"/>
        </w:rPr>
        <w:t>筑物安全的。包括：在玻璃、石材幕墙设置带有结构的广告的，在危房上设置的，以及危及建</w:t>
      </w:r>
      <w:r>
        <w:rPr>
          <w:rFonts w:hint="eastAsia" w:ascii="方正仿宋_GBK" w:eastAsia="方正仿宋_GBK"/>
          <w:szCs w:val="21"/>
        </w:rPr>
        <w:t>（</w:t>
      </w:r>
      <w:r>
        <w:rPr>
          <w:rFonts w:hint="eastAsia" w:ascii="方正仿宋_GBK" w:eastAsia="方正仿宋_GBK" w:hAnsiTheme="minorEastAsia"/>
          <w:szCs w:val="21"/>
        </w:rPr>
        <w:t>构</w:t>
      </w:r>
      <w:r>
        <w:rPr>
          <w:rFonts w:hint="eastAsia" w:ascii="方正仿宋_GBK" w:eastAsia="方正仿宋_GBK"/>
          <w:szCs w:val="21"/>
        </w:rPr>
        <w:t>）</w:t>
      </w:r>
      <w:r>
        <w:rPr>
          <w:rFonts w:hint="eastAsia" w:ascii="方正仿宋_GBK" w:eastAsia="方正仿宋_GBK" w:hAnsiTheme="minorEastAsia"/>
          <w:szCs w:val="21"/>
        </w:rPr>
        <w:t>筑物和设施安全的其它情形。</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4.2.1.6  </w:t>
      </w:r>
      <w:r>
        <w:rPr>
          <w:rFonts w:hint="eastAsia" w:ascii="方正仿宋_GBK" w:eastAsia="方正仿宋_GBK" w:hAnsiTheme="minorEastAsia"/>
          <w:szCs w:val="21"/>
        </w:rPr>
        <w:t>影响消防安全的。</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4.2.2 </w:t>
      </w:r>
      <w:r>
        <w:rPr>
          <w:rFonts w:hint="eastAsia" w:ascii="方正仿宋_GBK" w:eastAsia="方正仿宋_GBK"/>
          <w:szCs w:val="21"/>
        </w:rPr>
        <w:t xml:space="preserve"> </w:t>
      </w:r>
      <w:r>
        <w:rPr>
          <w:rFonts w:hint="eastAsia" w:ascii="方正仿宋_GBK" w:eastAsia="方正仿宋_GBK" w:hAnsiTheme="minorEastAsia"/>
          <w:szCs w:val="21"/>
        </w:rPr>
        <w:t>影响生产和居民正常生活的户外广告，包括：</w:t>
      </w:r>
    </w:p>
    <w:p>
      <w:pPr>
        <w:pStyle w:val="137"/>
        <w:widowControl w:val="0"/>
        <w:numPr>
          <w:ilvl w:val="0"/>
          <w:numId w:val="0"/>
        </w:numPr>
        <w:spacing w:beforeLines="0" w:afterLines="0" w:line="320" w:lineRule="exact"/>
        <w:ind w:firstLine="632" w:firstLineChars="3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不符合相邻建筑现有日照要求。</w:t>
      </w:r>
    </w:p>
    <w:p>
      <w:pPr>
        <w:pStyle w:val="137"/>
        <w:widowControl w:val="0"/>
        <w:numPr>
          <w:ilvl w:val="0"/>
          <w:numId w:val="0"/>
        </w:numPr>
        <w:spacing w:beforeLines="0" w:afterLines="0" w:line="320" w:lineRule="exact"/>
        <w:ind w:firstLine="632" w:firstLineChars="3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遮挡外墙门窗。</w:t>
      </w:r>
    </w:p>
    <w:p>
      <w:pPr>
        <w:pStyle w:val="137"/>
        <w:widowControl w:val="0"/>
        <w:numPr>
          <w:ilvl w:val="0"/>
          <w:numId w:val="0"/>
        </w:numPr>
        <w:spacing w:beforeLines="0" w:afterLines="0" w:line="320" w:lineRule="exact"/>
        <w:ind w:firstLine="632" w:firstLineChars="300"/>
        <w:rPr>
          <w:rFonts w:ascii="方正仿宋_GBK" w:eastAsia="方正仿宋_GBK"/>
          <w:szCs w:val="21"/>
        </w:rPr>
      </w:pPr>
      <w:r>
        <w:rPr>
          <w:rFonts w:hint="eastAsia" w:ascii="方正仿宋_GBK" w:eastAsia="方正仿宋_GBK" w:hAnsiTheme="minorEastAsia"/>
          <w:b/>
          <w:szCs w:val="21"/>
        </w:rPr>
        <w:t>3）</w:t>
      </w:r>
      <w:r>
        <w:rPr>
          <w:rFonts w:hint="eastAsia" w:ascii="方正仿宋_GBK" w:eastAsia="方正仿宋_GBK" w:hAnsiTheme="minorEastAsia"/>
          <w:szCs w:val="21"/>
        </w:rPr>
        <w:t>影响建筑物采光、通风。</w:t>
      </w:r>
    </w:p>
    <w:p>
      <w:pPr>
        <w:pStyle w:val="137"/>
        <w:widowControl w:val="0"/>
        <w:numPr>
          <w:ilvl w:val="0"/>
          <w:numId w:val="0"/>
        </w:numPr>
        <w:spacing w:beforeLines="0" w:afterLines="0" w:line="320" w:lineRule="exact"/>
        <w:ind w:firstLine="632" w:firstLineChars="300"/>
        <w:rPr>
          <w:rFonts w:ascii="方正仿宋_GBK" w:eastAsia="方正仿宋_GBK"/>
          <w:szCs w:val="21"/>
        </w:rPr>
      </w:pPr>
      <w:r>
        <w:rPr>
          <w:rFonts w:hint="eastAsia" w:ascii="方正仿宋_GBK" w:eastAsia="方正仿宋_GBK" w:hAnsiTheme="minorEastAsia"/>
          <w:b/>
          <w:szCs w:val="21"/>
        </w:rPr>
        <w:t>4）</w:t>
      </w:r>
      <w:r>
        <w:rPr>
          <w:rFonts w:hint="eastAsia" w:ascii="方正仿宋_GBK" w:eastAsia="方正仿宋_GBK" w:hAnsiTheme="minorEastAsia"/>
          <w:szCs w:val="21"/>
        </w:rPr>
        <w:t>广告照明影响居民正常生活。</w:t>
      </w:r>
    </w:p>
    <w:p>
      <w:pPr>
        <w:pStyle w:val="137"/>
        <w:widowControl w:val="0"/>
        <w:numPr>
          <w:ilvl w:val="0"/>
          <w:numId w:val="0"/>
        </w:numPr>
        <w:spacing w:beforeLines="0" w:afterLines="0" w:line="320" w:lineRule="exact"/>
        <w:ind w:firstLine="630" w:firstLineChars="300"/>
        <w:rPr>
          <w:rFonts w:ascii="方正仿宋_GBK" w:eastAsia="方正仿宋_GBK"/>
          <w:szCs w:val="21"/>
        </w:rPr>
      </w:pPr>
      <w:r>
        <w:rPr>
          <w:rFonts w:hint="eastAsia" w:ascii="方正仿宋_GBK" w:eastAsia="方正仿宋_GBK"/>
          <w:szCs w:val="21"/>
        </w:rPr>
        <w:t>5</w:t>
      </w:r>
      <w:r>
        <w:rPr>
          <w:rFonts w:hint="eastAsia" w:ascii="方正仿宋_GBK" w:eastAsia="方正仿宋_GBK" w:hAnsiTheme="minorEastAsia"/>
          <w:b/>
          <w:szCs w:val="21"/>
        </w:rPr>
        <w:t>）</w:t>
      </w:r>
      <w:r>
        <w:rPr>
          <w:rFonts w:hint="eastAsia" w:ascii="方正仿宋_GBK" w:eastAsia="方正仿宋_GBK" w:hAnsiTheme="minorEastAsia"/>
          <w:szCs w:val="21"/>
        </w:rPr>
        <w:t>居住小区绿地等公共区域内</w:t>
      </w:r>
      <w:r>
        <w:rPr>
          <w:rFonts w:hint="eastAsia" w:ascii="方正仿宋_GBK" w:eastAsia="方正仿宋_GBK"/>
          <w:szCs w:val="21"/>
        </w:rPr>
        <w:t>（</w:t>
      </w:r>
      <w:r>
        <w:rPr>
          <w:rFonts w:hint="eastAsia" w:ascii="方正仿宋_GBK" w:eastAsia="方正仿宋_GBK" w:hAnsiTheme="minorEastAsia"/>
          <w:szCs w:val="21"/>
        </w:rPr>
        <w:t>含居住区围墙上</w:t>
      </w:r>
      <w:r>
        <w:rPr>
          <w:rFonts w:hint="eastAsia" w:ascii="方正仿宋_GBK" w:eastAsia="方正仿宋_GBK"/>
          <w:szCs w:val="21"/>
        </w:rPr>
        <w:t>）</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ind w:firstLine="632" w:firstLineChars="300"/>
        <w:rPr>
          <w:rFonts w:ascii="方正仿宋_GBK" w:eastAsia="方正仿宋_GBK"/>
          <w:szCs w:val="21"/>
        </w:rPr>
      </w:pPr>
      <w:r>
        <w:rPr>
          <w:rFonts w:hint="eastAsia" w:ascii="方正仿宋_GBK" w:eastAsia="方正仿宋_GBK"/>
          <w:b/>
          <w:szCs w:val="21"/>
        </w:rPr>
        <w:t>6</w:t>
      </w:r>
      <w:r>
        <w:rPr>
          <w:rFonts w:hint="eastAsia" w:ascii="方正仿宋_GBK" w:eastAsia="方正仿宋_GBK" w:hAnsiTheme="minorEastAsia"/>
          <w:b/>
          <w:szCs w:val="21"/>
        </w:rPr>
        <w:t>）</w:t>
      </w:r>
      <w:r>
        <w:rPr>
          <w:rFonts w:hint="eastAsia" w:ascii="方正仿宋_GBK" w:eastAsia="方正仿宋_GBK"/>
          <w:szCs w:val="21"/>
        </w:rPr>
        <w:t xml:space="preserve"> </w:t>
      </w:r>
      <w:r>
        <w:rPr>
          <w:rFonts w:hint="eastAsia" w:ascii="方正仿宋_GBK" w:eastAsia="方正仿宋_GBK" w:hAnsiTheme="minorEastAsia"/>
          <w:szCs w:val="21"/>
        </w:rPr>
        <w:t>播放声音的。</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4.2.3 </w:t>
      </w:r>
      <w:r>
        <w:rPr>
          <w:rFonts w:hint="eastAsia" w:ascii="方正仿宋_GBK" w:eastAsia="方正仿宋_GBK"/>
          <w:szCs w:val="21"/>
        </w:rPr>
        <w:t xml:space="preserve"> </w:t>
      </w:r>
      <w:r>
        <w:rPr>
          <w:rFonts w:hint="eastAsia" w:ascii="方正仿宋_GBK" w:eastAsia="方正仿宋_GBK" w:hAnsiTheme="minorEastAsia"/>
          <w:szCs w:val="21"/>
        </w:rPr>
        <w:t>影响市容市貌的户外广告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4.2.3.1 </w:t>
      </w:r>
      <w:r>
        <w:rPr>
          <w:rFonts w:hint="eastAsia" w:ascii="方正仿宋_GBK" w:eastAsia="方正仿宋_GBK"/>
          <w:szCs w:val="21"/>
        </w:rPr>
        <w:t xml:space="preserve"> </w:t>
      </w:r>
      <w:r>
        <w:rPr>
          <w:rFonts w:hint="eastAsia" w:ascii="方正仿宋_GBK" w:eastAsia="方正仿宋_GBK" w:hAnsiTheme="minorEastAsia"/>
          <w:szCs w:val="21"/>
        </w:rPr>
        <w:t>损害绿化的，包括：</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依附于行道树设置。</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影响行道树和其它绿化植物生长。</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绿化景观周边。</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其它利用行道树或者毁损绿地的情形。</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4.2.3.2 </w:t>
      </w:r>
      <w:r>
        <w:rPr>
          <w:rFonts w:hint="eastAsia" w:ascii="方正仿宋_GBK" w:eastAsia="方正仿宋_GBK"/>
          <w:szCs w:val="21"/>
        </w:rPr>
        <w:t xml:space="preserve"> </w:t>
      </w:r>
      <w:r>
        <w:rPr>
          <w:rFonts w:hint="eastAsia" w:ascii="方正仿宋_GBK" w:eastAsia="方正仿宋_GBK" w:hAnsiTheme="minorEastAsia"/>
          <w:szCs w:val="21"/>
        </w:rPr>
        <w:t>损害建构筑物形象的，包括：</w:t>
      </w:r>
    </w:p>
    <w:p>
      <w:pPr>
        <w:pStyle w:val="137"/>
        <w:widowControl w:val="0"/>
        <w:numPr>
          <w:ilvl w:val="0"/>
          <w:numId w:val="1"/>
        </w:numPr>
        <w:spacing w:beforeLines="0" w:afterLines="0" w:line="320" w:lineRule="exact"/>
        <w:ind w:firstLine="420" w:firstLineChars="200"/>
        <w:rPr>
          <w:rFonts w:ascii="方正仿宋_GBK" w:eastAsia="方正仿宋_GBK" w:hAnsiTheme="minorEastAsia"/>
          <w:szCs w:val="21"/>
        </w:rPr>
      </w:pPr>
      <w:r>
        <w:rPr>
          <w:rFonts w:hint="eastAsia" w:ascii="方正仿宋_GBK" w:eastAsia="方正仿宋_GBK" w:hAnsiTheme="minorEastAsia"/>
          <w:szCs w:val="21"/>
        </w:rPr>
        <w:t>建筑物顶部</w:t>
      </w:r>
      <w:r>
        <w:rPr>
          <w:rFonts w:hint="eastAsia" w:ascii="方正仿宋_GBK" w:eastAsia="方正仿宋_GBK"/>
          <w:szCs w:val="21"/>
        </w:rPr>
        <w:t>（</w:t>
      </w:r>
      <w:r>
        <w:rPr>
          <w:rFonts w:hint="eastAsia" w:ascii="方正仿宋_GBK" w:eastAsia="方正仿宋_GBK" w:hAnsiTheme="minorEastAsia"/>
          <w:szCs w:val="21"/>
        </w:rPr>
        <w:t>含裙楼</w:t>
      </w:r>
      <w:r>
        <w:rPr>
          <w:rFonts w:hint="eastAsia" w:ascii="方正仿宋_GBK" w:eastAsia="方正仿宋_GBK"/>
          <w:szCs w:val="21"/>
        </w:rPr>
        <w:t>）</w:t>
      </w:r>
      <w:r>
        <w:rPr>
          <w:rFonts w:hint="eastAsia" w:ascii="方正仿宋_GBK" w:eastAsia="方正仿宋_GBK" w:hAnsiTheme="minorEastAsia"/>
          <w:szCs w:val="21"/>
        </w:rPr>
        <w:t>或檐口以上设置的。</w:t>
      </w:r>
    </w:p>
    <w:p>
      <w:pPr>
        <w:pStyle w:val="137"/>
        <w:widowControl w:val="0"/>
        <w:numPr>
          <w:ilvl w:val="0"/>
          <w:numId w:val="1"/>
        </w:numPr>
        <w:spacing w:beforeLines="0" w:afterLines="0" w:line="320" w:lineRule="exact"/>
        <w:ind w:firstLine="420" w:firstLineChars="200"/>
        <w:rPr>
          <w:rFonts w:ascii="方正仿宋_GBK" w:eastAsia="方正仿宋_GBK"/>
          <w:szCs w:val="21"/>
        </w:rPr>
      </w:pPr>
      <w:r>
        <w:rPr>
          <w:rFonts w:hint="eastAsia" w:ascii="方正仿宋_GBK" w:eastAsia="方正仿宋_GBK" w:hAnsiTheme="minorEastAsia"/>
          <w:szCs w:val="21"/>
        </w:rPr>
        <w:t>围墙的顶部设置的。</w:t>
      </w:r>
    </w:p>
    <w:p>
      <w:pPr>
        <w:pStyle w:val="137"/>
        <w:widowControl w:val="0"/>
        <w:numPr>
          <w:ilvl w:val="0"/>
          <w:numId w:val="1"/>
        </w:numPr>
        <w:spacing w:beforeLines="0" w:afterLines="0" w:line="320" w:lineRule="exact"/>
        <w:ind w:firstLine="420" w:firstLineChars="200"/>
        <w:rPr>
          <w:rFonts w:ascii="方正仿宋_GBK" w:eastAsia="方正仿宋_GBK"/>
          <w:szCs w:val="21"/>
        </w:rPr>
      </w:pPr>
      <w:r>
        <w:rPr>
          <w:rFonts w:hint="eastAsia" w:ascii="方正仿宋_GBK" w:eastAsia="方正仿宋_GBK" w:hAnsiTheme="minorEastAsia"/>
          <w:szCs w:val="21"/>
        </w:rPr>
        <w:t>围墙的镂空部分设置的</w:t>
      </w:r>
      <w:r>
        <w:rPr>
          <w:rFonts w:hint="eastAsia" w:ascii="方正仿宋_GBK" w:eastAsia="方正仿宋_GBK"/>
          <w:szCs w:val="21"/>
        </w:rPr>
        <w:t>（</w:t>
      </w:r>
      <w:r>
        <w:rPr>
          <w:rFonts w:hint="eastAsia" w:ascii="方正仿宋_GBK" w:eastAsia="方正仿宋_GBK" w:hAnsiTheme="minorEastAsia"/>
          <w:szCs w:val="21"/>
        </w:rPr>
        <w:t>围墙设计建造时预留的广告点位除外</w:t>
      </w:r>
      <w:r>
        <w:rPr>
          <w:rFonts w:hint="eastAsia" w:ascii="方正仿宋_GBK" w:eastAsia="方正仿宋_GBK"/>
          <w:szCs w:val="21"/>
        </w:rPr>
        <w:t>）</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4.2.3.3</w:t>
      </w:r>
      <w:r>
        <w:rPr>
          <w:rFonts w:hint="eastAsia" w:ascii="方正仿宋_GBK" w:eastAsia="方正仿宋_GBK"/>
          <w:szCs w:val="21"/>
        </w:rPr>
        <w:t xml:space="preserve">  </w:t>
      </w:r>
      <w:r>
        <w:rPr>
          <w:rFonts w:hint="eastAsia" w:ascii="方正仿宋_GBK" w:eastAsia="方正仿宋_GBK" w:hAnsiTheme="minorEastAsia"/>
          <w:szCs w:val="21"/>
        </w:rPr>
        <w:t>破坏城市历史风貌的，包括：在各级文物保护单位和优秀历史建筑本体及核心保护范围内设置广告</w:t>
      </w:r>
      <w:r>
        <w:rPr>
          <w:rFonts w:hint="eastAsia" w:ascii="方正仿宋_GBK" w:eastAsia="方正仿宋_GBK"/>
          <w:szCs w:val="21"/>
        </w:rPr>
        <w:t>（</w:t>
      </w:r>
      <w:r>
        <w:rPr>
          <w:rFonts w:hint="eastAsia" w:ascii="方正仿宋_GBK" w:eastAsia="方正仿宋_GBK" w:hAnsiTheme="minorEastAsia"/>
          <w:szCs w:val="21"/>
        </w:rPr>
        <w:t>临时性广告除外</w:t>
      </w:r>
      <w:r>
        <w:rPr>
          <w:rFonts w:hint="eastAsia" w:ascii="方正仿宋_GBK" w:eastAsia="方正仿宋_GBK"/>
          <w:szCs w:val="21"/>
        </w:rPr>
        <w:t>）</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4.2.3.4</w:t>
      </w:r>
      <w:r>
        <w:rPr>
          <w:rFonts w:hint="eastAsia" w:ascii="方正仿宋_GBK" w:eastAsia="方正仿宋_GBK"/>
          <w:szCs w:val="21"/>
        </w:rPr>
        <w:t xml:space="preserve">  </w:t>
      </w:r>
      <w:r>
        <w:rPr>
          <w:rFonts w:hint="eastAsia" w:ascii="方正仿宋_GBK" w:eastAsia="方正仿宋_GBK" w:hAnsiTheme="minorEastAsia"/>
          <w:szCs w:val="21"/>
        </w:rPr>
        <w:t>损害市容市貌的其它情形，包括：</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利用街道家具设置。</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在灯电杆上设硬质展示牌、灯箱等广告设施。</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4.2.3.5 </w:t>
      </w:r>
      <w:r>
        <w:rPr>
          <w:rFonts w:hint="eastAsia" w:ascii="方正仿宋_GBK" w:eastAsia="方正仿宋_GBK"/>
          <w:szCs w:val="21"/>
        </w:rPr>
        <w:t xml:space="preserve"> </w:t>
      </w:r>
      <w:r>
        <w:rPr>
          <w:rFonts w:hint="eastAsia" w:ascii="方正仿宋_GBK" w:eastAsia="方正仿宋_GBK" w:hAnsiTheme="minorEastAsia"/>
          <w:szCs w:val="21"/>
        </w:rPr>
        <w:t>不得在主次干道设置布幅广告。</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4.3  </w:t>
      </w:r>
      <w:r>
        <w:rPr>
          <w:rFonts w:hint="eastAsia" w:ascii="方正楷体_GBK" w:hAnsi="Times New Roman" w:eastAsia="方正楷体_GBK"/>
          <w:b w:val="0"/>
          <w:sz w:val="21"/>
          <w:szCs w:val="21"/>
        </w:rPr>
        <w:t>分类设置要求</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4.3.1</w:t>
      </w:r>
      <w:r>
        <w:rPr>
          <w:rFonts w:hint="eastAsia" w:ascii="方正仿宋_GBK" w:eastAsia="方正仿宋_GBK"/>
          <w:szCs w:val="21"/>
        </w:rPr>
        <w:t xml:space="preserve">  </w:t>
      </w:r>
      <w:r>
        <w:rPr>
          <w:rFonts w:hint="eastAsia" w:ascii="方正仿宋_GBK" w:eastAsia="方正仿宋_GBK" w:hAnsiTheme="minorEastAsia"/>
          <w:szCs w:val="21"/>
        </w:rPr>
        <w:t>独立式户外广告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4.3.1.1</w:t>
      </w:r>
      <w:r>
        <w:rPr>
          <w:rFonts w:hint="eastAsia" w:ascii="方正仿宋_GBK" w:eastAsia="方正仿宋_GBK"/>
          <w:szCs w:val="21"/>
        </w:rPr>
        <w:t xml:space="preserve">  </w:t>
      </w:r>
      <w:r>
        <w:rPr>
          <w:rFonts w:hint="eastAsia" w:ascii="方正仿宋_GBK" w:eastAsia="方正仿宋_GBK" w:hAnsiTheme="minorEastAsia"/>
          <w:szCs w:val="21"/>
        </w:rPr>
        <w:t>城市中心商业区、步行街、城市开放式广场不宜设置独立式户外广告。</w:t>
      </w:r>
    </w:p>
    <w:p>
      <w:pPr>
        <w:pStyle w:val="137"/>
        <w:widowControl w:val="0"/>
        <w:numPr>
          <w:ilvl w:val="0"/>
          <w:numId w:val="0"/>
        </w:numPr>
        <w:spacing w:beforeLines="0" w:afterLines="0" w:line="320" w:lineRule="exact"/>
        <w:rPr>
          <w:rFonts w:ascii="方正仿宋_GBK" w:eastAsia="方正仿宋_GBK" w:hAnsiTheme="minorEastAsia"/>
          <w:szCs w:val="21"/>
        </w:rPr>
      </w:pPr>
      <w:r>
        <w:rPr>
          <w:rFonts w:hint="eastAsia" w:ascii="方正仿宋_GBK" w:eastAsia="方正仿宋_GBK"/>
          <w:b/>
          <w:szCs w:val="21"/>
        </w:rPr>
        <w:t>4.3.1.2</w:t>
      </w:r>
      <w:r>
        <w:rPr>
          <w:rFonts w:hint="eastAsia" w:ascii="方正仿宋_GBK" w:eastAsia="方正仿宋_GBK"/>
          <w:szCs w:val="21"/>
        </w:rPr>
        <w:t xml:space="preserve">  </w:t>
      </w:r>
      <w:r>
        <w:rPr>
          <w:rFonts w:hint="eastAsia" w:ascii="方正仿宋_GBK" w:eastAsia="方正仿宋_GBK" w:hAnsiTheme="minorEastAsia"/>
          <w:szCs w:val="21"/>
        </w:rPr>
        <w:t>落地式灯箱广告</w:t>
      </w:r>
    </w:p>
    <w:p>
      <w:pPr>
        <w:pStyle w:val="137"/>
        <w:widowControl w:val="0"/>
        <w:numPr>
          <w:ilvl w:val="0"/>
          <w:numId w:val="2"/>
        </w:numPr>
        <w:spacing w:beforeLines="0" w:afterLines="0" w:line="320" w:lineRule="exact"/>
        <w:ind w:firstLine="630" w:firstLineChars="300"/>
        <w:rPr>
          <w:rFonts w:ascii="方正仿宋_GBK" w:eastAsia="方正仿宋_GBK" w:hAnsiTheme="minorEastAsia"/>
          <w:szCs w:val="21"/>
        </w:rPr>
      </w:pPr>
      <w:r>
        <w:rPr>
          <w:rFonts w:hint="eastAsia" w:ascii="方正仿宋_GBK" w:eastAsia="方正仿宋_GBK" w:hAnsiTheme="minorEastAsia"/>
          <w:szCs w:val="21"/>
        </w:rPr>
        <w:t>设置场地、通道净宽应大于</w:t>
      </w:r>
      <w:r>
        <w:rPr>
          <w:rFonts w:hint="eastAsia" w:ascii="方正仿宋_GBK" w:eastAsia="方正仿宋_GBK"/>
          <w:szCs w:val="21"/>
        </w:rPr>
        <w:t>5m</w:t>
      </w:r>
      <w:r>
        <w:rPr>
          <w:rFonts w:hint="eastAsia" w:ascii="方正仿宋_GBK" w:eastAsia="方正仿宋_GBK" w:hAnsiTheme="minorEastAsia"/>
          <w:szCs w:val="21"/>
        </w:rPr>
        <w:t>；</w:t>
      </w:r>
    </w:p>
    <w:p>
      <w:pPr>
        <w:pStyle w:val="137"/>
        <w:widowControl w:val="0"/>
        <w:numPr>
          <w:ilvl w:val="0"/>
          <w:numId w:val="2"/>
        </w:numPr>
        <w:spacing w:beforeLines="0" w:afterLines="0" w:line="320" w:lineRule="exact"/>
        <w:ind w:firstLine="630" w:firstLineChars="300"/>
        <w:rPr>
          <w:rFonts w:ascii="方正仿宋_GBK" w:eastAsia="方正仿宋_GBK"/>
          <w:szCs w:val="21"/>
        </w:rPr>
      </w:pPr>
      <w:r>
        <w:rPr>
          <w:rFonts w:hint="eastAsia" w:ascii="方正仿宋_GBK" w:eastAsia="方正仿宋_GBK" w:hAnsiTheme="minorEastAsia"/>
          <w:szCs w:val="21"/>
        </w:rPr>
        <w:t>广告单面面积小于</w:t>
      </w:r>
      <w:r>
        <w:rPr>
          <w:rFonts w:hint="eastAsia" w:ascii="方正仿宋_GBK" w:eastAsia="方正仿宋_GBK"/>
          <w:szCs w:val="21"/>
        </w:rPr>
        <w:t>2.5m</w:t>
      </w:r>
      <w:r>
        <w:rPr>
          <w:rFonts w:hint="eastAsia" w:ascii="方正仿宋_GBK" w:eastAsia="方正仿宋_GBK"/>
          <w:szCs w:val="21"/>
          <w:vertAlign w:val="superscript"/>
        </w:rPr>
        <w:t>2</w:t>
      </w:r>
      <w:r>
        <w:rPr>
          <w:rFonts w:hint="eastAsia" w:ascii="方正仿宋_GBK" w:eastAsia="方正仿宋_GBK" w:hAnsiTheme="minorEastAsia"/>
          <w:szCs w:val="21"/>
        </w:rPr>
        <w:t>，高度小于</w:t>
      </w:r>
      <w:r>
        <w:rPr>
          <w:rFonts w:hint="eastAsia" w:ascii="方正仿宋_GBK" w:eastAsia="方正仿宋_GBK"/>
          <w:szCs w:val="21"/>
        </w:rPr>
        <w:t>2.5m</w:t>
      </w:r>
      <w:r>
        <w:rPr>
          <w:rFonts w:hint="eastAsia" w:ascii="方正仿宋_GBK" w:eastAsia="方正仿宋_GBK" w:hAnsiTheme="minorEastAsia"/>
          <w:szCs w:val="21"/>
        </w:rPr>
        <w:t>，厚度小于</w:t>
      </w:r>
      <w:r>
        <w:rPr>
          <w:rFonts w:hint="eastAsia" w:ascii="方正仿宋_GBK" w:eastAsia="方正仿宋_GBK"/>
          <w:szCs w:val="21"/>
        </w:rPr>
        <w:t>0.3m</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4.3.1.3 </w:t>
      </w:r>
      <w:r>
        <w:rPr>
          <w:rFonts w:hint="eastAsia" w:ascii="方正仿宋_GBK" w:eastAsia="方正仿宋_GBK"/>
          <w:szCs w:val="21"/>
        </w:rPr>
        <w:t xml:space="preserve"> </w:t>
      </w:r>
      <w:r>
        <w:rPr>
          <w:rFonts w:hint="eastAsia" w:ascii="方正仿宋_GBK" w:eastAsia="方正仿宋_GBK" w:hAnsiTheme="minorEastAsia"/>
          <w:szCs w:val="21"/>
        </w:rPr>
        <w:t>高立柱广告</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版面牌面宜为规则矩形，尺寸</w:t>
      </w:r>
      <w:r>
        <w:rPr>
          <w:rFonts w:hint="eastAsia" w:ascii="方正仿宋_GBK" w:eastAsia="方正仿宋_GBK"/>
          <w:szCs w:val="21"/>
        </w:rPr>
        <w:t>（6×18）m</w:t>
      </w:r>
      <w:r>
        <w:rPr>
          <w:rFonts w:hint="eastAsia" w:ascii="方正仿宋_GBK" w:eastAsia="方正仿宋_GBK" w:hAnsiTheme="minorEastAsia"/>
          <w:szCs w:val="21"/>
        </w:rPr>
        <w:t>，广告下缘距地面不得小于</w:t>
      </w:r>
      <w:r>
        <w:rPr>
          <w:rFonts w:hint="eastAsia" w:ascii="方正仿宋_GBK" w:eastAsia="方正仿宋_GBK"/>
          <w:szCs w:val="21"/>
        </w:rPr>
        <w:t>10m</w:t>
      </w:r>
      <w:r>
        <w:rPr>
          <w:rFonts w:hint="eastAsia" w:ascii="方正仿宋_GBK" w:eastAsia="方正仿宋_GBK" w:hAnsiTheme="minorEastAsia"/>
          <w:szCs w:val="21"/>
        </w:rPr>
        <w:t>，总高度不宜大于</w:t>
      </w:r>
      <w:r>
        <w:rPr>
          <w:rFonts w:hint="eastAsia" w:ascii="方正仿宋_GBK" w:eastAsia="方正仿宋_GBK"/>
          <w:szCs w:val="21"/>
        </w:rPr>
        <w:t>22m</w:t>
      </w:r>
      <w:r>
        <w:rPr>
          <w:rFonts w:hint="eastAsia" w:ascii="方正仿宋_GBK" w:eastAsia="方正仿宋_GBK" w:hAnsiTheme="minorEastAsia"/>
          <w:szCs w:val="21"/>
        </w:rPr>
        <w:t>，车行道边沿至广告立柱距离宜大于总高度。</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间距不得小于</w:t>
      </w:r>
      <w:r>
        <w:rPr>
          <w:rFonts w:hint="eastAsia" w:ascii="方正仿宋_GBK" w:eastAsia="方正仿宋_GBK"/>
          <w:szCs w:val="21"/>
        </w:rPr>
        <w:t>1000m</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距人行道、车行道、建筑物的距离不得小于其倒伏距离。</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4.3.1.4</w:t>
      </w:r>
      <w:r>
        <w:rPr>
          <w:rFonts w:hint="eastAsia" w:ascii="方正仿宋_GBK" w:eastAsia="方正仿宋_GBK"/>
          <w:szCs w:val="21"/>
        </w:rPr>
        <w:t xml:space="preserve">  </w:t>
      </w:r>
      <w:r>
        <w:rPr>
          <w:rFonts w:hint="eastAsia" w:ascii="方正仿宋_GBK" w:eastAsia="方正仿宋_GBK" w:hAnsiTheme="minorEastAsia"/>
          <w:szCs w:val="21"/>
        </w:rPr>
        <w:t>大型独立式广告的设置应结合景观进行设计，广告面积不大于</w:t>
      </w:r>
      <w:r>
        <w:rPr>
          <w:rFonts w:hint="eastAsia" w:ascii="方正仿宋_GBK" w:eastAsia="方正仿宋_GBK"/>
          <w:szCs w:val="21"/>
        </w:rPr>
        <w:t>200m</w:t>
      </w:r>
      <w:r>
        <w:rPr>
          <w:rFonts w:hint="eastAsia" w:ascii="方正仿宋_GBK" w:eastAsia="方正仿宋_GBK"/>
          <w:szCs w:val="21"/>
          <w:vertAlign w:val="superscript"/>
        </w:rPr>
        <w:t>2</w:t>
      </w:r>
      <w:r>
        <w:rPr>
          <w:rFonts w:hint="eastAsia" w:ascii="方正仿宋_GBK" w:eastAsia="方正仿宋_GBK" w:hAnsiTheme="minorEastAsia"/>
          <w:szCs w:val="21"/>
        </w:rPr>
        <w:t>。</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4.3.2</w:t>
      </w:r>
      <w:r>
        <w:rPr>
          <w:rFonts w:hint="eastAsia" w:ascii="方正仿宋_GBK" w:eastAsia="方正仿宋_GBK"/>
          <w:szCs w:val="21"/>
        </w:rPr>
        <w:t xml:space="preserve">  </w:t>
      </w:r>
      <w:r>
        <w:rPr>
          <w:rFonts w:hint="eastAsia" w:ascii="方正仿宋_GBK" w:eastAsia="方正仿宋_GBK" w:hAnsiTheme="minorEastAsia"/>
          <w:szCs w:val="21"/>
        </w:rPr>
        <w:t>附属式户外广告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4.3.2.1 </w:t>
      </w:r>
      <w:r>
        <w:rPr>
          <w:rFonts w:hint="eastAsia" w:ascii="方正仿宋_GBK" w:eastAsia="方正仿宋_GBK"/>
          <w:szCs w:val="21"/>
        </w:rPr>
        <w:t xml:space="preserve"> </w:t>
      </w:r>
      <w:r>
        <w:rPr>
          <w:rFonts w:hint="eastAsia" w:ascii="方正仿宋_GBK" w:eastAsia="方正仿宋_GBK" w:hAnsiTheme="minorEastAsia"/>
          <w:szCs w:val="21"/>
        </w:rPr>
        <w:t>建</w:t>
      </w:r>
      <w:r>
        <w:rPr>
          <w:rFonts w:hint="eastAsia" w:ascii="方正仿宋_GBK" w:eastAsia="方正仿宋_GBK"/>
          <w:szCs w:val="21"/>
        </w:rPr>
        <w:t>（</w:t>
      </w:r>
      <w:r>
        <w:rPr>
          <w:rFonts w:hint="eastAsia" w:ascii="方正仿宋_GBK" w:eastAsia="方正仿宋_GBK" w:hAnsiTheme="minorEastAsia"/>
          <w:szCs w:val="21"/>
        </w:rPr>
        <w:t>构</w:t>
      </w:r>
      <w:r>
        <w:rPr>
          <w:rFonts w:hint="eastAsia" w:ascii="方正仿宋_GBK" w:eastAsia="方正仿宋_GBK"/>
          <w:szCs w:val="21"/>
        </w:rPr>
        <w:t>）</w:t>
      </w:r>
      <w:r>
        <w:rPr>
          <w:rFonts w:hint="eastAsia" w:ascii="方正仿宋_GBK" w:eastAsia="方正仿宋_GBK" w:hAnsiTheme="minorEastAsia"/>
          <w:szCs w:val="21"/>
        </w:rPr>
        <w:t>筑物上户外广告</w:t>
      </w:r>
    </w:p>
    <w:p>
      <w:pPr>
        <w:pStyle w:val="137"/>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pacing w:val="4"/>
          <w:szCs w:val="21"/>
        </w:rPr>
        <w:t>贴附于墙面或嵌入式户外广告宜设置在多层建筑墙面和高层建筑的裙楼墙面。户外广告总面积宜小于设置墙面面积的</w:t>
      </w:r>
      <w:r>
        <w:rPr>
          <w:rFonts w:hint="eastAsia" w:ascii="方正仿宋_GBK" w:eastAsia="方正仿宋_GBK"/>
          <w:spacing w:val="4"/>
          <w:szCs w:val="21"/>
        </w:rPr>
        <w:t>30%</w:t>
      </w:r>
      <w:r>
        <w:rPr>
          <w:rFonts w:hint="eastAsia" w:ascii="方正仿宋_GBK" w:eastAsia="方正仿宋_GBK" w:hAnsiTheme="minorEastAsia"/>
          <w:szCs w:val="21"/>
        </w:rPr>
        <w:t>。</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墙面广告大小应与墙面相协调，户外广告设施高度不得超过檐口或女儿墙，宽度不得突出墙面两侧外轮廓线；凸出墙面距离不宜大于</w:t>
      </w:r>
      <w:r>
        <w:rPr>
          <w:rFonts w:hint="eastAsia" w:ascii="方正仿宋_GBK" w:eastAsia="方正仿宋_GBK"/>
          <w:szCs w:val="21"/>
        </w:rPr>
        <w:t>0.5m</w:t>
      </w:r>
      <w:r>
        <w:rPr>
          <w:rFonts w:hint="eastAsia" w:ascii="方正仿宋_GBK" w:eastAsia="方正仿宋_GBK" w:hAnsiTheme="minorEastAsia"/>
          <w:szCs w:val="21"/>
        </w:rPr>
        <w:t>，底端距地面不得小于</w:t>
      </w:r>
      <w:r>
        <w:rPr>
          <w:rFonts w:hint="eastAsia" w:ascii="方正仿宋_GBK" w:eastAsia="方正仿宋_GBK"/>
          <w:szCs w:val="21"/>
        </w:rPr>
        <w:t>2.5m</w:t>
      </w:r>
      <w:r>
        <w:rPr>
          <w:rFonts w:hint="eastAsia" w:ascii="方正仿宋_GBK" w:eastAsia="方正仿宋_GBK" w:hAnsiTheme="minorEastAsia"/>
          <w:szCs w:val="21"/>
        </w:rPr>
        <w:t>。</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人行地通道墙面广告设置间隔应大于</w:t>
      </w:r>
      <w:r>
        <w:rPr>
          <w:rFonts w:hint="eastAsia" w:ascii="方正仿宋_GBK" w:eastAsia="方正仿宋_GBK"/>
          <w:szCs w:val="21"/>
        </w:rPr>
        <w:t>5m</w:t>
      </w:r>
      <w:r>
        <w:rPr>
          <w:rFonts w:hint="eastAsia" w:ascii="方正仿宋_GBK" w:eastAsia="方正仿宋_GBK" w:hAnsiTheme="minorEastAsia"/>
          <w:szCs w:val="21"/>
        </w:rPr>
        <w:t>，广告凸出墙面距离应小于</w:t>
      </w:r>
      <w:r>
        <w:rPr>
          <w:rFonts w:hint="eastAsia" w:ascii="方正仿宋_GBK" w:eastAsia="方正仿宋_GBK"/>
          <w:szCs w:val="21"/>
        </w:rPr>
        <w:t>0.1m</w:t>
      </w:r>
      <w:r>
        <w:rPr>
          <w:rFonts w:hint="eastAsia" w:ascii="方正仿宋_GBK" w:eastAsia="方正仿宋_GBK" w:hAnsiTheme="minorEastAsia"/>
          <w:szCs w:val="21"/>
        </w:rPr>
        <w:t>，广告下端距地面应大于</w:t>
      </w:r>
      <w:r>
        <w:rPr>
          <w:rFonts w:hint="eastAsia" w:ascii="方正仿宋_GBK" w:eastAsia="方正仿宋_GBK"/>
          <w:szCs w:val="21"/>
        </w:rPr>
        <w:t>0.6m</w:t>
      </w:r>
      <w:r>
        <w:rPr>
          <w:rFonts w:hint="eastAsia" w:ascii="方正仿宋_GBK" w:eastAsia="方正仿宋_GBK" w:hAnsiTheme="minorEastAsia"/>
          <w:szCs w:val="21"/>
        </w:rPr>
        <w:t>。</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依附于实体围墙墙面</w:t>
      </w:r>
      <w:r>
        <w:rPr>
          <w:rFonts w:hint="eastAsia" w:ascii="方正仿宋_GBK" w:eastAsia="方正仿宋_GBK"/>
          <w:szCs w:val="21"/>
        </w:rPr>
        <w:t>（</w:t>
      </w:r>
      <w:r>
        <w:rPr>
          <w:rFonts w:hint="eastAsia" w:ascii="方正仿宋_GBK" w:eastAsia="方正仿宋_GBK" w:hAnsiTheme="minorEastAsia"/>
          <w:szCs w:val="21"/>
        </w:rPr>
        <w:t>含施工围墙</w:t>
      </w:r>
      <w:r>
        <w:rPr>
          <w:rFonts w:hint="eastAsia" w:ascii="方正仿宋_GBK" w:eastAsia="方正仿宋_GBK"/>
          <w:szCs w:val="21"/>
        </w:rPr>
        <w:t>）</w:t>
      </w:r>
      <w:r>
        <w:rPr>
          <w:rFonts w:hint="eastAsia" w:ascii="方正仿宋_GBK" w:eastAsia="方正仿宋_GBK" w:hAnsiTheme="minorEastAsia"/>
          <w:szCs w:val="21"/>
        </w:rPr>
        <w:t>户外广告：</w:t>
      </w:r>
    </w:p>
    <w:p>
      <w:pPr>
        <w:tabs>
          <w:tab w:val="left" w:pos="840"/>
          <w:tab w:val="left" w:pos="1260"/>
        </w:tabs>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a 围墙广告高度不得超出围墙的高度，宽度应小于围墙柱墩之间的墙面，凸出墙面的距离应小于0.2m，其突出墙面的部分不得妨碍行人的安全。</w:t>
      </w:r>
    </w:p>
    <w:p>
      <w:pPr>
        <w:tabs>
          <w:tab w:val="left" w:pos="840"/>
          <w:tab w:val="left" w:pos="1260"/>
        </w:tabs>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b 施工围墙设置广告应采用喷绘、张贴式等形式，不得突出墙面。</w:t>
      </w:r>
    </w:p>
    <w:p>
      <w:pPr>
        <w:tabs>
          <w:tab w:val="left" w:pos="840"/>
          <w:tab w:val="left" w:pos="1260"/>
        </w:tabs>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c 同一路段同一风格围墙上宜统一位置、尺寸和间距。</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4.3.2.2</w:t>
      </w:r>
      <w:r>
        <w:rPr>
          <w:rFonts w:hint="eastAsia" w:ascii="方正仿宋_GBK" w:eastAsia="方正仿宋_GBK"/>
          <w:szCs w:val="21"/>
        </w:rPr>
        <w:t xml:space="preserve">  </w:t>
      </w:r>
      <w:r>
        <w:rPr>
          <w:rFonts w:hint="eastAsia" w:ascii="方正仿宋_GBK" w:eastAsia="方正仿宋_GBK" w:hAnsiTheme="minorEastAsia"/>
          <w:szCs w:val="21"/>
        </w:rPr>
        <w:t>公交站台广告</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公交站台广告应与公交线路牌和候车亭统一规划、设计和建设，做到美观协调。</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每个公交站台原则上只设一组广告牌，每组原则上不超过</w:t>
      </w:r>
      <w:r>
        <w:rPr>
          <w:rFonts w:hint="eastAsia" w:ascii="方正仿宋_GBK" w:eastAsia="方正仿宋_GBK"/>
          <w:szCs w:val="21"/>
        </w:rPr>
        <w:t>3</w:t>
      </w:r>
      <w:r>
        <w:rPr>
          <w:rFonts w:hint="eastAsia" w:ascii="方正仿宋_GBK" w:eastAsia="方正仿宋_GBK" w:hAnsiTheme="minorEastAsia"/>
          <w:szCs w:val="21"/>
        </w:rPr>
        <w:t>个广告牌</w:t>
      </w:r>
      <w:r>
        <w:rPr>
          <w:rFonts w:hint="eastAsia" w:ascii="方正仿宋_GBK" w:eastAsia="方正仿宋_GBK"/>
          <w:szCs w:val="21"/>
        </w:rPr>
        <w:t>（</w:t>
      </w:r>
      <w:r>
        <w:rPr>
          <w:rFonts w:hint="eastAsia" w:ascii="方正仿宋_GBK" w:eastAsia="方正仿宋_GBK" w:hAnsiTheme="minorEastAsia"/>
          <w:szCs w:val="21"/>
        </w:rPr>
        <w:t>每个广告牌包括正反两面</w:t>
      </w:r>
      <w:r>
        <w:rPr>
          <w:rFonts w:hint="eastAsia" w:ascii="方正仿宋_GBK" w:eastAsia="方正仿宋_GBK"/>
          <w:szCs w:val="21"/>
        </w:rPr>
        <w:t>）</w:t>
      </w:r>
      <w:r>
        <w:rPr>
          <w:rFonts w:hint="eastAsia" w:ascii="方正仿宋_GBK" w:eastAsia="方正仿宋_GBK" w:hAnsiTheme="minorEastAsia"/>
          <w:szCs w:val="21"/>
        </w:rPr>
        <w:t>，公交站台顶部不得设置广告。</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公交站台广告可采用灯箱等形式，见光尺寸长度不宜超过</w:t>
      </w:r>
      <w:r>
        <w:rPr>
          <w:rFonts w:hint="eastAsia" w:ascii="方正仿宋_GBK" w:eastAsia="方正仿宋_GBK"/>
          <w:szCs w:val="21"/>
        </w:rPr>
        <w:t>3.5m</w:t>
      </w:r>
      <w:r>
        <w:rPr>
          <w:rFonts w:hint="eastAsia" w:ascii="方正仿宋_GBK" w:eastAsia="方正仿宋_GBK" w:hAnsiTheme="minorEastAsia"/>
          <w:szCs w:val="21"/>
        </w:rPr>
        <w:t>，高度不宜超过</w:t>
      </w:r>
      <w:r>
        <w:rPr>
          <w:rFonts w:hint="eastAsia" w:ascii="方正仿宋_GBK" w:eastAsia="方正仿宋_GBK"/>
          <w:szCs w:val="21"/>
        </w:rPr>
        <w:t>1.5m</w:t>
      </w:r>
      <w:r>
        <w:rPr>
          <w:rFonts w:hint="eastAsia" w:ascii="方正仿宋_GBK" w:eastAsia="方正仿宋_GBK" w:hAnsiTheme="minorEastAsia"/>
          <w:szCs w:val="21"/>
        </w:rPr>
        <w:t>，屏厚不宜超过</w:t>
      </w:r>
      <w:r>
        <w:rPr>
          <w:rFonts w:hint="eastAsia" w:ascii="方正仿宋_GBK" w:eastAsia="方正仿宋_GBK"/>
          <w:szCs w:val="21"/>
        </w:rPr>
        <w:t>0.3m</w:t>
      </w:r>
      <w:r>
        <w:rPr>
          <w:rFonts w:hint="eastAsia" w:ascii="方正仿宋_GBK" w:eastAsia="方正仿宋_GBK" w:hAnsiTheme="minorEastAsia"/>
          <w:szCs w:val="21"/>
        </w:rPr>
        <w:t>，间距宜大于</w:t>
      </w:r>
      <w:r>
        <w:rPr>
          <w:rFonts w:hint="eastAsia" w:ascii="方正仿宋_GBK" w:eastAsia="方正仿宋_GBK"/>
          <w:szCs w:val="21"/>
        </w:rPr>
        <w:t>1.2m</w:t>
      </w:r>
      <w:r>
        <w:rPr>
          <w:rFonts w:hint="eastAsia" w:ascii="方正仿宋_GBK" w:eastAsia="方正仿宋_GBK" w:hAnsiTheme="minorEastAsia"/>
          <w:szCs w:val="21"/>
        </w:rPr>
        <w:t>。</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4.3.3 </w:t>
      </w:r>
      <w:r>
        <w:rPr>
          <w:rFonts w:hint="eastAsia" w:ascii="方正仿宋_GBK" w:eastAsia="方正仿宋_GBK"/>
          <w:szCs w:val="21"/>
        </w:rPr>
        <w:t xml:space="preserve"> </w:t>
      </w:r>
      <w:r>
        <w:rPr>
          <w:rFonts w:hint="eastAsia" w:ascii="方正仿宋_GBK" w:eastAsia="方正仿宋_GBK" w:hAnsiTheme="minorEastAsia"/>
          <w:szCs w:val="21"/>
        </w:rPr>
        <w:t>电子显示屏广告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4.3.3.1 </w:t>
      </w:r>
      <w:r>
        <w:rPr>
          <w:rFonts w:hint="eastAsia" w:ascii="方正仿宋_GBK" w:eastAsia="方正仿宋_GBK"/>
          <w:szCs w:val="21"/>
        </w:rPr>
        <w:t xml:space="preserve"> </w:t>
      </w:r>
      <w:r>
        <w:rPr>
          <w:rFonts w:hint="eastAsia" w:ascii="方正仿宋_GBK" w:eastAsia="方正仿宋_GBK" w:hAnsiTheme="minorEastAsia"/>
          <w:szCs w:val="21"/>
        </w:rPr>
        <w:t>宜设置在多层建筑和高层建筑裙房外墙上。面积应根据建筑结构特征及周边环境确定，其总面积不宜大于</w:t>
      </w:r>
      <w:r>
        <w:rPr>
          <w:rFonts w:hint="eastAsia" w:ascii="方正仿宋_GBK" w:eastAsia="方正仿宋_GBK"/>
          <w:szCs w:val="21"/>
        </w:rPr>
        <w:t>300m</w:t>
      </w:r>
      <w:r>
        <w:rPr>
          <w:rFonts w:hint="eastAsia" w:ascii="方正仿宋_GBK" w:eastAsia="方正仿宋_GBK"/>
          <w:szCs w:val="21"/>
          <w:vertAlign w:val="superscript"/>
        </w:rPr>
        <w:t>2</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4.3.3.2  </w:t>
      </w:r>
      <w:r>
        <w:rPr>
          <w:rFonts w:hint="eastAsia" w:ascii="方正仿宋_GBK" w:eastAsia="方正仿宋_GBK" w:hAnsiTheme="minorEastAsia"/>
          <w:szCs w:val="21"/>
        </w:rPr>
        <w:t>道路两侧设置的电子显示屏应采用刷屏式。</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4.3.3.3 </w:t>
      </w:r>
      <w:r>
        <w:rPr>
          <w:rFonts w:hint="eastAsia" w:ascii="方正仿宋_GBK" w:eastAsia="方正仿宋_GBK"/>
          <w:szCs w:val="21"/>
        </w:rPr>
        <w:t xml:space="preserve"> </w:t>
      </w:r>
      <w:r>
        <w:rPr>
          <w:rFonts w:hint="eastAsia" w:ascii="方正仿宋_GBK" w:eastAsia="方正仿宋_GBK" w:hAnsiTheme="minorEastAsia"/>
          <w:szCs w:val="21"/>
        </w:rPr>
        <w:t>应发光均匀，无抖动闪烁现象，具备根据自然环境自动调节亮度的功能。显示屏光线投射角度、亮度等指标应符合</w:t>
      </w:r>
      <w:r>
        <w:rPr>
          <w:rFonts w:hint="eastAsia" w:ascii="方正仿宋_GBK" w:eastAsia="方正仿宋_GBK"/>
          <w:szCs w:val="21"/>
        </w:rPr>
        <w:t>GB/T 36101</w:t>
      </w:r>
      <w:r>
        <w:rPr>
          <w:rFonts w:hint="eastAsia" w:ascii="方正仿宋_GBK" w:eastAsia="方正仿宋_GBK" w:hAnsiTheme="minorEastAsia"/>
          <w:szCs w:val="21"/>
        </w:rPr>
        <w:t>、</w:t>
      </w:r>
      <w:r>
        <w:rPr>
          <w:rFonts w:hint="eastAsia" w:ascii="方正仿宋_GBK" w:eastAsia="方正仿宋_GBK"/>
          <w:szCs w:val="21"/>
        </w:rPr>
        <w:t>DB50</w:t>
      </w:r>
      <w:r>
        <w:rPr>
          <w:rFonts w:hint="eastAsia" w:ascii="方正仿宋_GBK" w:eastAsia="方正仿宋_GBK" w:hAnsiTheme="minorEastAsia"/>
          <w:szCs w:val="21"/>
        </w:rPr>
        <w:t>／</w:t>
      </w:r>
      <w:r>
        <w:rPr>
          <w:rFonts w:hint="eastAsia" w:ascii="方正仿宋_GBK" w:eastAsia="方正仿宋_GBK"/>
          <w:szCs w:val="21"/>
        </w:rPr>
        <w:t>T 234</w:t>
      </w:r>
      <w:r>
        <w:rPr>
          <w:rFonts w:hint="eastAsia" w:ascii="方正仿宋_GBK" w:eastAsia="方正仿宋_GBK" w:hAnsiTheme="minorEastAsia"/>
          <w:szCs w:val="21"/>
        </w:rPr>
        <w:t>及其它相关标准规范的规定。</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4.3.3.4 </w:t>
      </w:r>
      <w:r>
        <w:rPr>
          <w:rFonts w:hint="eastAsia" w:ascii="方正仿宋_GBK" w:eastAsia="方正仿宋_GBK"/>
          <w:szCs w:val="21"/>
        </w:rPr>
        <w:t xml:space="preserve"> </w:t>
      </w:r>
      <w:r>
        <w:rPr>
          <w:rFonts w:hint="eastAsia" w:ascii="方正仿宋_GBK" w:eastAsia="方正仿宋_GBK" w:hAnsiTheme="minorEastAsia"/>
          <w:szCs w:val="21"/>
        </w:rPr>
        <w:t>宜设置为静音。</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4.3.3.5</w:t>
      </w:r>
      <w:r>
        <w:rPr>
          <w:rFonts w:hint="eastAsia" w:ascii="方正仿宋_GBK" w:eastAsia="方正仿宋_GBK"/>
          <w:szCs w:val="21"/>
        </w:rPr>
        <w:t xml:space="preserve">  </w:t>
      </w:r>
      <w:r>
        <w:rPr>
          <w:rFonts w:hint="eastAsia" w:ascii="方正仿宋_GBK" w:eastAsia="方正仿宋_GBK" w:hAnsiTheme="minorEastAsia"/>
          <w:szCs w:val="21"/>
        </w:rPr>
        <w:t>电子显示屏开启时间不宜早于</w:t>
      </w:r>
      <w:r>
        <w:rPr>
          <w:rFonts w:hint="eastAsia" w:ascii="方正仿宋_GBK" w:eastAsia="方正仿宋_GBK"/>
          <w:szCs w:val="21"/>
        </w:rPr>
        <w:t>7</w:t>
      </w:r>
      <w:r>
        <w:rPr>
          <w:rFonts w:hint="eastAsia" w:ascii="方正仿宋_GBK" w:eastAsia="方正仿宋_GBK" w:hAnsiTheme="minorEastAsia"/>
          <w:szCs w:val="21"/>
        </w:rPr>
        <w:t>：</w:t>
      </w:r>
      <w:r>
        <w:rPr>
          <w:rFonts w:hint="eastAsia" w:ascii="方正仿宋_GBK" w:eastAsia="方正仿宋_GBK"/>
          <w:szCs w:val="21"/>
        </w:rPr>
        <w:t>00</w:t>
      </w:r>
      <w:r>
        <w:rPr>
          <w:rFonts w:hint="eastAsia" w:ascii="方正仿宋_GBK" w:eastAsia="方正仿宋_GBK" w:hAnsiTheme="minorEastAsia"/>
          <w:szCs w:val="21"/>
        </w:rPr>
        <w:t>，关闭时间不宜晚于</w:t>
      </w:r>
      <w:r>
        <w:rPr>
          <w:rFonts w:hint="eastAsia" w:ascii="方正仿宋_GBK" w:eastAsia="方正仿宋_GBK"/>
          <w:szCs w:val="21"/>
        </w:rPr>
        <w:t>22</w:t>
      </w:r>
      <w:r>
        <w:rPr>
          <w:rFonts w:hint="eastAsia" w:ascii="方正仿宋_GBK" w:eastAsia="方正仿宋_GBK" w:hAnsiTheme="minorEastAsia"/>
          <w:szCs w:val="21"/>
        </w:rPr>
        <w:t>：</w:t>
      </w:r>
      <w:r>
        <w:rPr>
          <w:rFonts w:hint="eastAsia" w:ascii="方正仿宋_GBK" w:eastAsia="方正仿宋_GBK"/>
          <w:szCs w:val="21"/>
        </w:rPr>
        <w:t>00</w:t>
      </w:r>
      <w:r>
        <w:rPr>
          <w:rFonts w:hint="eastAsia" w:ascii="方正仿宋_GBK" w:eastAsia="方正仿宋_GBK" w:hAnsiTheme="minorEastAsia"/>
          <w:szCs w:val="21"/>
        </w:rPr>
        <w:t>，重大节庆活动等特殊活动除外。</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4.3.4</w:t>
      </w:r>
      <w:r>
        <w:rPr>
          <w:rFonts w:hint="eastAsia" w:ascii="方正仿宋_GBK" w:eastAsia="方正仿宋_GBK"/>
          <w:szCs w:val="21"/>
        </w:rPr>
        <w:t xml:space="preserve">  </w:t>
      </w:r>
      <w:r>
        <w:rPr>
          <w:rFonts w:hint="eastAsia" w:ascii="方正仿宋_GBK" w:eastAsia="方正仿宋_GBK" w:hAnsiTheme="minorEastAsia"/>
          <w:szCs w:val="21"/>
        </w:rPr>
        <w:t>临时户外广告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4.3.4.1 </w:t>
      </w:r>
      <w:r>
        <w:rPr>
          <w:rFonts w:hint="eastAsia" w:ascii="方正仿宋_GBK" w:eastAsia="方正仿宋_GBK"/>
          <w:szCs w:val="21"/>
        </w:rPr>
        <w:t xml:space="preserve"> </w:t>
      </w:r>
      <w:r>
        <w:rPr>
          <w:rFonts w:hint="eastAsia" w:ascii="方正仿宋_GBK" w:eastAsia="方正仿宋_GBK" w:hAnsiTheme="minorEastAsia"/>
          <w:szCs w:val="21"/>
        </w:rPr>
        <w:t>灯杆</w:t>
      </w:r>
      <w:r>
        <w:rPr>
          <w:rFonts w:hint="eastAsia" w:ascii="方正仿宋_GBK" w:eastAsia="方正仿宋_GBK"/>
          <w:szCs w:val="21"/>
        </w:rPr>
        <w:t>（</w:t>
      </w:r>
      <w:r>
        <w:rPr>
          <w:rFonts w:hint="eastAsia" w:ascii="方正仿宋_GBK" w:eastAsia="方正仿宋_GBK" w:hAnsiTheme="minorEastAsia"/>
          <w:szCs w:val="21"/>
        </w:rPr>
        <w:t>电杆</w:t>
      </w:r>
      <w:r>
        <w:rPr>
          <w:rFonts w:hint="eastAsia" w:ascii="方正仿宋_GBK" w:eastAsia="方正仿宋_GBK"/>
          <w:szCs w:val="21"/>
        </w:rPr>
        <w:t>）</w:t>
      </w:r>
      <w:r>
        <w:rPr>
          <w:rFonts w:hint="eastAsia" w:ascii="方正仿宋_GBK" w:eastAsia="方正仿宋_GBK" w:hAnsiTheme="minorEastAsia"/>
          <w:szCs w:val="21"/>
        </w:rPr>
        <w:t>广告</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灯杆</w:t>
      </w:r>
      <w:r>
        <w:rPr>
          <w:rFonts w:hint="eastAsia" w:ascii="方正仿宋_GBK" w:eastAsia="方正仿宋_GBK"/>
          <w:szCs w:val="21"/>
        </w:rPr>
        <w:t>（</w:t>
      </w:r>
      <w:r>
        <w:rPr>
          <w:rFonts w:hint="eastAsia" w:ascii="方正仿宋_GBK" w:eastAsia="方正仿宋_GBK" w:hAnsiTheme="minorEastAsia"/>
          <w:szCs w:val="21"/>
        </w:rPr>
        <w:t>电杆</w:t>
      </w:r>
      <w:r>
        <w:rPr>
          <w:rFonts w:hint="eastAsia" w:ascii="方正仿宋_GBK" w:eastAsia="方正仿宋_GBK"/>
          <w:szCs w:val="21"/>
        </w:rPr>
        <w:t>）</w:t>
      </w:r>
      <w:r>
        <w:rPr>
          <w:rFonts w:hint="eastAsia" w:ascii="方正仿宋_GBK" w:eastAsia="方正仿宋_GBK" w:hAnsiTheme="minorEastAsia"/>
          <w:szCs w:val="21"/>
        </w:rPr>
        <w:t>广告宜以道旗形式为主。广告底部离地面应大于</w:t>
      </w:r>
      <w:r>
        <w:rPr>
          <w:rFonts w:hint="eastAsia" w:ascii="方正仿宋_GBK" w:eastAsia="方正仿宋_GBK"/>
          <w:szCs w:val="21"/>
        </w:rPr>
        <w:t>4.5m</w:t>
      </w:r>
      <w:r>
        <w:rPr>
          <w:rFonts w:hint="eastAsia" w:ascii="方正仿宋_GBK" w:eastAsia="方正仿宋_GBK" w:hAnsiTheme="minorEastAsia"/>
          <w:szCs w:val="21"/>
        </w:rPr>
        <w:t>，总宽度不超过</w:t>
      </w:r>
      <w:r>
        <w:rPr>
          <w:rFonts w:hint="eastAsia" w:ascii="方正仿宋_GBK" w:eastAsia="方正仿宋_GBK"/>
          <w:szCs w:val="21"/>
        </w:rPr>
        <w:t>0.6m</w:t>
      </w:r>
      <w:r>
        <w:rPr>
          <w:rFonts w:hint="eastAsia" w:ascii="方正仿宋_GBK" w:eastAsia="方正仿宋_GBK" w:hAnsiTheme="minorEastAsia"/>
          <w:szCs w:val="21"/>
        </w:rPr>
        <w:t>，每块道旗尺寸为</w:t>
      </w:r>
      <w:r>
        <w:rPr>
          <w:rFonts w:hint="eastAsia" w:ascii="方正仿宋_GBK" w:eastAsia="方正仿宋_GBK"/>
          <w:szCs w:val="21"/>
        </w:rPr>
        <w:t>（1.8×0.6）m</w:t>
      </w:r>
      <w:r>
        <w:rPr>
          <w:rFonts w:hint="eastAsia" w:ascii="方正仿宋_GBK" w:eastAsia="方正仿宋_GBK"/>
          <w:szCs w:val="21"/>
          <w:vertAlign w:val="superscript"/>
        </w:rPr>
        <w:t>2</w:t>
      </w:r>
      <w:r>
        <w:rPr>
          <w:rFonts w:hint="eastAsia" w:ascii="方正仿宋_GBK" w:eastAsia="方正仿宋_GBK" w:hAnsiTheme="minorEastAsia"/>
          <w:szCs w:val="21"/>
        </w:rPr>
        <w:t>，一根灯杆</w:t>
      </w:r>
      <w:r>
        <w:rPr>
          <w:rFonts w:hint="eastAsia" w:ascii="方正仿宋_GBK" w:eastAsia="方正仿宋_GBK"/>
          <w:szCs w:val="21"/>
        </w:rPr>
        <w:t>（</w:t>
      </w:r>
      <w:r>
        <w:rPr>
          <w:rFonts w:hint="eastAsia" w:ascii="方正仿宋_GBK" w:eastAsia="方正仿宋_GBK" w:hAnsiTheme="minorEastAsia"/>
          <w:szCs w:val="21"/>
        </w:rPr>
        <w:t>电杆</w:t>
      </w:r>
      <w:r>
        <w:rPr>
          <w:rFonts w:hint="eastAsia" w:ascii="方正仿宋_GBK" w:eastAsia="方正仿宋_GBK"/>
          <w:szCs w:val="21"/>
        </w:rPr>
        <w:t>）</w:t>
      </w:r>
      <w:r>
        <w:rPr>
          <w:rFonts w:hint="eastAsia" w:ascii="方正仿宋_GBK" w:eastAsia="方正仿宋_GBK" w:hAnsiTheme="minorEastAsia"/>
          <w:szCs w:val="21"/>
        </w:rPr>
        <w:t>最多可对称设置</w:t>
      </w:r>
      <w:r>
        <w:rPr>
          <w:rFonts w:hint="eastAsia" w:ascii="方正仿宋_GBK" w:eastAsia="方正仿宋_GBK"/>
          <w:szCs w:val="21"/>
        </w:rPr>
        <w:t>2</w:t>
      </w:r>
      <w:r>
        <w:rPr>
          <w:rFonts w:hint="eastAsia" w:ascii="方正仿宋_GBK" w:eastAsia="方正仿宋_GBK" w:hAnsiTheme="minorEastAsia"/>
          <w:szCs w:val="21"/>
        </w:rPr>
        <w:t>块。</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同一区域或道路灯杆</w:t>
      </w:r>
      <w:r>
        <w:rPr>
          <w:rFonts w:hint="eastAsia" w:ascii="方正仿宋_GBK" w:eastAsia="方正仿宋_GBK"/>
          <w:szCs w:val="21"/>
        </w:rPr>
        <w:t>（</w:t>
      </w:r>
      <w:r>
        <w:rPr>
          <w:rFonts w:hint="eastAsia" w:ascii="方正仿宋_GBK" w:eastAsia="方正仿宋_GBK" w:hAnsiTheme="minorEastAsia"/>
          <w:szCs w:val="21"/>
        </w:rPr>
        <w:t>电杆</w:t>
      </w:r>
      <w:r>
        <w:rPr>
          <w:rFonts w:hint="eastAsia" w:ascii="方正仿宋_GBK" w:eastAsia="方正仿宋_GBK"/>
          <w:szCs w:val="21"/>
        </w:rPr>
        <w:t>）</w:t>
      </w:r>
      <w:r>
        <w:rPr>
          <w:rFonts w:hint="eastAsia" w:ascii="方正仿宋_GBK" w:eastAsia="方正仿宋_GBK" w:hAnsiTheme="minorEastAsia"/>
          <w:szCs w:val="21"/>
        </w:rPr>
        <w:t>广告应做到形式、尺寸、位置一致，并与周围景观相协调。</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4.3.4.2 </w:t>
      </w:r>
      <w:r>
        <w:rPr>
          <w:rFonts w:hint="eastAsia" w:ascii="方正仿宋_GBK" w:eastAsia="方正仿宋_GBK"/>
          <w:szCs w:val="21"/>
        </w:rPr>
        <w:t xml:space="preserve"> </w:t>
      </w:r>
      <w:r>
        <w:rPr>
          <w:rFonts w:hint="eastAsia" w:ascii="方正仿宋_GBK" w:eastAsia="方正仿宋_GBK" w:hAnsiTheme="minorEastAsia"/>
          <w:szCs w:val="21"/>
        </w:rPr>
        <w:t>充气广告</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充气物的宽度</w:t>
      </w:r>
      <w:r>
        <w:rPr>
          <w:rFonts w:hint="eastAsia" w:ascii="方正仿宋_GBK" w:eastAsia="方正仿宋_GBK"/>
          <w:szCs w:val="21"/>
        </w:rPr>
        <w:t>（</w:t>
      </w:r>
      <w:r>
        <w:rPr>
          <w:rFonts w:hint="eastAsia" w:ascii="方正仿宋_GBK" w:eastAsia="方正仿宋_GBK" w:hAnsiTheme="minorEastAsia"/>
          <w:szCs w:val="21"/>
        </w:rPr>
        <w:t>厚度或支柱直径</w:t>
      </w:r>
      <w:r>
        <w:rPr>
          <w:rFonts w:hint="eastAsia" w:ascii="方正仿宋_GBK" w:eastAsia="方正仿宋_GBK"/>
          <w:szCs w:val="21"/>
        </w:rPr>
        <w:t>）</w:t>
      </w:r>
      <w:r>
        <w:rPr>
          <w:rFonts w:hint="eastAsia" w:ascii="方正仿宋_GBK" w:eastAsia="方正仿宋_GBK" w:hAnsiTheme="minorEastAsia"/>
          <w:szCs w:val="21"/>
        </w:rPr>
        <w:t>不大于人行道宽度的</w:t>
      </w:r>
      <w:r>
        <w:rPr>
          <w:rFonts w:hint="eastAsia" w:ascii="方正仿宋_GBK" w:eastAsia="方正仿宋_GBK"/>
          <w:szCs w:val="21"/>
        </w:rPr>
        <w:t>25%</w:t>
      </w:r>
      <w:r>
        <w:rPr>
          <w:rFonts w:hint="eastAsia" w:ascii="方正仿宋_GBK" w:eastAsia="方正仿宋_GBK" w:hAnsiTheme="minorEastAsia"/>
          <w:szCs w:val="21"/>
        </w:rPr>
        <w:t>，且与门面平行设置。</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在非独立门面或两相邻单位距离较近的位置设置充气物，应紧贴门前设置，其跨越距离不得超过门面宽度。</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4.3.4.3  </w:t>
      </w:r>
      <w:r>
        <w:rPr>
          <w:rFonts w:hint="eastAsia" w:ascii="方正仿宋_GBK" w:eastAsia="方正仿宋_GBK" w:hAnsiTheme="minorEastAsia"/>
          <w:szCs w:val="21"/>
        </w:rPr>
        <w:t>布幅广告</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不得使用白底黑字</w:t>
      </w:r>
      <w:r>
        <w:rPr>
          <w:rFonts w:hint="eastAsia" w:ascii="方正仿宋_GBK" w:eastAsia="方正仿宋_GBK"/>
          <w:szCs w:val="21"/>
        </w:rPr>
        <w:t>（</w:t>
      </w:r>
      <w:r>
        <w:rPr>
          <w:rFonts w:hint="eastAsia" w:ascii="方正仿宋_GBK" w:eastAsia="方正仿宋_GBK" w:hAnsiTheme="minorEastAsia"/>
          <w:szCs w:val="21"/>
        </w:rPr>
        <w:t>或黑底白字</w:t>
      </w:r>
      <w:r>
        <w:rPr>
          <w:rFonts w:hint="eastAsia" w:ascii="方正仿宋_GBK" w:eastAsia="方正仿宋_GBK"/>
          <w:szCs w:val="21"/>
        </w:rPr>
        <w:t>）</w:t>
      </w:r>
      <w:r>
        <w:rPr>
          <w:rFonts w:hint="eastAsia" w:ascii="方正仿宋_GBK" w:eastAsia="方正仿宋_GBK" w:hAnsiTheme="minorEastAsia"/>
          <w:szCs w:val="21"/>
        </w:rPr>
        <w:t>，其颜色、字体、内容、规格、设置方案等应与现场相协调，并须绷紧设置。</w:t>
      </w:r>
    </w:p>
    <w:p>
      <w:pPr>
        <w:pStyle w:val="136"/>
        <w:widowControl w:val="0"/>
        <w:numPr>
          <w:ilvl w:val="0"/>
          <w:numId w:val="0"/>
        </w:numPr>
        <w:spacing w:beforeLines="0" w:afterLines="0" w:line="320" w:lineRule="exact"/>
        <w:ind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竖幅布幅广告：长度不得大于</w:t>
      </w:r>
      <w:r>
        <w:rPr>
          <w:rFonts w:hint="eastAsia" w:ascii="方正仿宋_GBK" w:eastAsia="方正仿宋_GBK"/>
          <w:szCs w:val="21"/>
        </w:rPr>
        <w:t>25m</w:t>
      </w:r>
      <w:r>
        <w:rPr>
          <w:rFonts w:hint="eastAsia" w:ascii="方正仿宋_GBK" w:eastAsia="方正仿宋_GBK" w:hAnsiTheme="minorEastAsia"/>
          <w:szCs w:val="21"/>
        </w:rPr>
        <w:t>，宽度不得大于</w:t>
      </w:r>
      <w:r>
        <w:rPr>
          <w:rFonts w:hint="eastAsia" w:ascii="方正仿宋_GBK" w:eastAsia="方正仿宋_GBK"/>
          <w:szCs w:val="21"/>
        </w:rPr>
        <w:t>1.5m</w:t>
      </w:r>
      <w:r>
        <w:rPr>
          <w:rFonts w:hint="eastAsia" w:ascii="方正仿宋_GBK" w:eastAsia="方正仿宋_GBK" w:hAnsiTheme="minorEastAsia"/>
          <w:szCs w:val="21"/>
        </w:rPr>
        <w:t>；</w:t>
      </w:r>
      <w:r>
        <w:rPr>
          <w:rFonts w:hint="eastAsia" w:ascii="方正仿宋_GBK" w:eastAsia="方正仿宋_GBK"/>
          <w:szCs w:val="21"/>
        </w:rPr>
        <w:t>8</w:t>
      </w:r>
      <w:r>
        <w:rPr>
          <w:rFonts w:hint="eastAsia" w:ascii="方正仿宋_GBK" w:eastAsia="方正仿宋_GBK" w:hAnsiTheme="minorEastAsia"/>
          <w:szCs w:val="21"/>
        </w:rPr>
        <w:t>层以上</w:t>
      </w:r>
      <w:r>
        <w:rPr>
          <w:rFonts w:hint="eastAsia" w:ascii="方正仿宋_GBK" w:eastAsia="方正仿宋_GBK"/>
          <w:szCs w:val="21"/>
        </w:rPr>
        <w:t>（</w:t>
      </w:r>
      <w:r>
        <w:rPr>
          <w:rFonts w:hint="eastAsia" w:ascii="方正仿宋_GBK" w:eastAsia="方正仿宋_GBK" w:hAnsiTheme="minorEastAsia"/>
          <w:szCs w:val="21"/>
        </w:rPr>
        <w:t>大于</w:t>
      </w:r>
      <w:r>
        <w:rPr>
          <w:rFonts w:hint="eastAsia" w:ascii="方正仿宋_GBK" w:eastAsia="方正仿宋_GBK"/>
          <w:szCs w:val="21"/>
        </w:rPr>
        <w:t>24m</w:t>
      </w:r>
      <w:r>
        <w:rPr>
          <w:rFonts w:hint="eastAsia" w:ascii="方正仿宋_GBK" w:eastAsia="方正仿宋_GBK" w:hAnsiTheme="minorEastAsia"/>
          <w:szCs w:val="21"/>
        </w:rPr>
        <w:t>，不含</w:t>
      </w:r>
      <w:r>
        <w:rPr>
          <w:rFonts w:hint="eastAsia" w:ascii="方正仿宋_GBK" w:eastAsia="方正仿宋_GBK"/>
          <w:szCs w:val="21"/>
        </w:rPr>
        <w:t>8</w:t>
      </w:r>
      <w:r>
        <w:rPr>
          <w:rFonts w:hint="eastAsia" w:ascii="方正仿宋_GBK" w:eastAsia="方正仿宋_GBK" w:hAnsiTheme="minorEastAsia"/>
          <w:szCs w:val="21"/>
        </w:rPr>
        <w:t>层</w:t>
      </w:r>
      <w:r>
        <w:rPr>
          <w:rFonts w:hint="eastAsia" w:ascii="方正仿宋_GBK" w:eastAsia="方正仿宋_GBK"/>
          <w:szCs w:val="21"/>
        </w:rPr>
        <w:t>）</w:t>
      </w:r>
      <w:r>
        <w:rPr>
          <w:rFonts w:hint="eastAsia" w:ascii="方正仿宋_GBK" w:eastAsia="方正仿宋_GBK" w:hAnsiTheme="minorEastAsia"/>
          <w:szCs w:val="21"/>
        </w:rPr>
        <w:t>不得设置；利用建</w:t>
      </w:r>
      <w:r>
        <w:rPr>
          <w:rFonts w:hint="eastAsia" w:ascii="方正仿宋_GBK" w:eastAsia="方正仿宋_GBK"/>
          <w:szCs w:val="21"/>
        </w:rPr>
        <w:t>（</w:t>
      </w:r>
      <w:r>
        <w:rPr>
          <w:rFonts w:hint="eastAsia" w:ascii="方正仿宋_GBK" w:eastAsia="方正仿宋_GBK" w:hAnsiTheme="minorEastAsia"/>
          <w:szCs w:val="21"/>
        </w:rPr>
        <w:t>构</w:t>
      </w:r>
      <w:r>
        <w:rPr>
          <w:rFonts w:hint="eastAsia" w:ascii="方正仿宋_GBK" w:eastAsia="方正仿宋_GBK"/>
          <w:szCs w:val="21"/>
        </w:rPr>
        <w:t>）</w:t>
      </w:r>
      <w:r>
        <w:rPr>
          <w:rFonts w:hint="eastAsia" w:ascii="方正仿宋_GBK" w:eastAsia="方正仿宋_GBK" w:hAnsiTheme="minorEastAsia"/>
          <w:szCs w:val="21"/>
        </w:rPr>
        <w:t>筑物同一位置多条并列设置的，其规格应统一。</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4.3.4.4 </w:t>
      </w:r>
      <w:r>
        <w:rPr>
          <w:rFonts w:hint="eastAsia" w:ascii="方正仿宋_GBK" w:eastAsia="方正仿宋_GBK"/>
          <w:szCs w:val="21"/>
        </w:rPr>
        <w:t xml:space="preserve"> </w:t>
      </w:r>
      <w:r>
        <w:rPr>
          <w:rFonts w:hint="eastAsia" w:ascii="方正仿宋_GBK" w:eastAsia="方正仿宋_GBK" w:hAnsiTheme="minorEastAsia"/>
          <w:szCs w:val="21"/>
        </w:rPr>
        <w:t>其它形式广告</w:t>
      </w:r>
    </w:p>
    <w:p>
      <w:pPr>
        <w:pStyle w:val="158"/>
        <w:widowControl w:val="0"/>
        <w:spacing w:line="320" w:lineRule="exact"/>
        <w:ind w:firstLine="420" w:firstLineChars="200"/>
        <w:jc w:val="both"/>
        <w:outlineLvl w:val="9"/>
        <w:rPr>
          <w:rFonts w:ascii="方正仿宋_GBK" w:eastAsia="方正仿宋_GBK"/>
        </w:rPr>
      </w:pPr>
      <w:r>
        <w:rPr>
          <w:rFonts w:hint="eastAsia" w:ascii="方正仿宋_GBK" w:eastAsia="方正仿宋_GBK" w:hAnsiTheme="minorEastAsia"/>
        </w:rPr>
        <w:t>展牌、咨询</w:t>
      </w:r>
      <w:r>
        <w:rPr>
          <w:rFonts w:hint="eastAsia" w:ascii="方正仿宋_GBK" w:eastAsia="方正仿宋_GBK"/>
        </w:rPr>
        <w:t>（</w:t>
      </w:r>
      <w:r>
        <w:rPr>
          <w:rFonts w:hint="eastAsia" w:ascii="方正仿宋_GBK" w:eastAsia="方正仿宋_GBK" w:hAnsiTheme="minorEastAsia"/>
        </w:rPr>
        <w:t>宣传</w:t>
      </w:r>
      <w:r>
        <w:rPr>
          <w:rFonts w:hint="eastAsia" w:ascii="方正仿宋_GBK" w:eastAsia="方正仿宋_GBK"/>
        </w:rPr>
        <w:t>）</w:t>
      </w:r>
      <w:r>
        <w:rPr>
          <w:rFonts w:hint="eastAsia" w:ascii="方正仿宋_GBK" w:eastAsia="方正仿宋_GBK" w:hAnsiTheme="minorEastAsia"/>
        </w:rPr>
        <w:t>台占地总面积不得大于所使用场地面积的</w:t>
      </w:r>
      <w:r>
        <w:rPr>
          <w:rFonts w:hint="eastAsia" w:ascii="方正仿宋_GBK" w:eastAsia="方正仿宋_GBK"/>
        </w:rPr>
        <w:t>33%</w:t>
      </w:r>
      <w:r>
        <w:rPr>
          <w:rFonts w:hint="eastAsia" w:ascii="方正仿宋_GBK" w:eastAsia="方正仿宋_GBK" w:hAnsiTheme="minorEastAsia"/>
        </w:rPr>
        <w:t>。</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szCs w:val="21"/>
        </w:rPr>
        <w:t xml:space="preserve">4.3.5  </w:t>
      </w:r>
      <w:r>
        <w:rPr>
          <w:rFonts w:hint="eastAsia" w:ascii="方正仿宋_GBK" w:eastAsia="方正仿宋_GBK" w:hAnsiTheme="minorEastAsia"/>
          <w:szCs w:val="21"/>
        </w:rPr>
        <w:t>流动户外广告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4.3.5.1</w:t>
      </w:r>
      <w:r>
        <w:rPr>
          <w:rFonts w:hint="eastAsia" w:ascii="方正仿宋_GBK" w:eastAsia="方正仿宋_GBK"/>
          <w:szCs w:val="21"/>
        </w:rPr>
        <w:t xml:space="preserve">  </w:t>
      </w:r>
      <w:r>
        <w:rPr>
          <w:rFonts w:hint="eastAsia" w:ascii="方正仿宋_GBK" w:eastAsia="方正仿宋_GBK" w:hAnsiTheme="minorEastAsia"/>
          <w:szCs w:val="21"/>
        </w:rPr>
        <w:t>除公交车定线车、出租车、轨道交通车辆外，其它车辆外部不得设置除本单位名称、标志以外的商业广告。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4.3.5.2</w:t>
      </w:r>
      <w:r>
        <w:rPr>
          <w:rFonts w:hint="eastAsia" w:ascii="方正仿宋_GBK" w:eastAsia="方正仿宋_GBK"/>
          <w:szCs w:val="21"/>
        </w:rPr>
        <w:t xml:space="preserve">  </w:t>
      </w:r>
      <w:r>
        <w:rPr>
          <w:rFonts w:hint="eastAsia" w:ascii="方正仿宋_GBK" w:eastAsia="方正仿宋_GBK" w:hAnsiTheme="minorEastAsia"/>
          <w:szCs w:val="21"/>
        </w:rPr>
        <w:t>出租车顶灯广告</w:t>
      </w:r>
      <w:r>
        <w:rPr>
          <w:rFonts w:hint="eastAsia" w:ascii="方正仿宋_GBK" w:eastAsia="方正仿宋_GBK"/>
          <w:szCs w:val="21"/>
        </w:rPr>
        <w:t>（</w:t>
      </w:r>
      <w:r>
        <w:rPr>
          <w:rFonts w:hint="eastAsia" w:ascii="方正仿宋_GBK" w:eastAsia="方正仿宋_GBK" w:hAnsiTheme="minorEastAsia"/>
          <w:szCs w:val="21"/>
        </w:rPr>
        <w:t>长</w:t>
      </w:r>
      <w:r>
        <w:rPr>
          <w:rFonts w:hint="eastAsia" w:ascii="方正仿宋_GBK" w:eastAsia="方正仿宋_GBK"/>
          <w:szCs w:val="21"/>
        </w:rPr>
        <w:t>×</w:t>
      </w:r>
      <w:r>
        <w:rPr>
          <w:rFonts w:hint="eastAsia" w:ascii="方正仿宋_GBK" w:eastAsia="方正仿宋_GBK" w:hAnsiTheme="minorEastAsia"/>
          <w:szCs w:val="21"/>
        </w:rPr>
        <w:t>宽</w:t>
      </w:r>
      <w:r>
        <w:rPr>
          <w:rFonts w:hint="eastAsia" w:ascii="方正仿宋_GBK" w:eastAsia="方正仿宋_GBK"/>
          <w:szCs w:val="21"/>
        </w:rPr>
        <w:t>×</w:t>
      </w:r>
      <w:r>
        <w:rPr>
          <w:rFonts w:hint="eastAsia" w:ascii="方正仿宋_GBK" w:eastAsia="方正仿宋_GBK" w:hAnsiTheme="minorEastAsia"/>
          <w:szCs w:val="21"/>
        </w:rPr>
        <w:t>高</w:t>
      </w:r>
      <w:r>
        <w:rPr>
          <w:rFonts w:hint="eastAsia" w:ascii="方正仿宋_GBK" w:eastAsia="方正仿宋_GBK"/>
          <w:szCs w:val="21"/>
        </w:rPr>
        <w:t>）</w:t>
      </w:r>
      <w:r>
        <w:rPr>
          <w:rFonts w:hint="eastAsia" w:ascii="方正仿宋_GBK" w:eastAsia="方正仿宋_GBK" w:hAnsiTheme="minorEastAsia"/>
          <w:szCs w:val="21"/>
        </w:rPr>
        <w:t>规格应为</w:t>
      </w:r>
      <w:r>
        <w:rPr>
          <w:rFonts w:hint="eastAsia" w:ascii="方正仿宋_GBK" w:eastAsia="方正仿宋_GBK"/>
          <w:szCs w:val="21"/>
        </w:rPr>
        <w:t>（610×170×288）mm</w:t>
      </w:r>
      <w:r>
        <w:rPr>
          <w:rFonts w:hint="eastAsia" w:ascii="方正仿宋_GBK" w:eastAsia="方正仿宋_GBK" w:hAnsiTheme="minorEastAsia"/>
          <w:szCs w:val="21"/>
        </w:rPr>
        <w:t>。</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4.3.5.3 </w:t>
      </w:r>
      <w:r>
        <w:rPr>
          <w:rFonts w:hint="eastAsia" w:ascii="方正仿宋_GBK" w:eastAsia="方正仿宋_GBK"/>
          <w:szCs w:val="21"/>
        </w:rPr>
        <w:t xml:space="preserve"> </w:t>
      </w:r>
      <w:r>
        <w:rPr>
          <w:rFonts w:hint="eastAsia" w:ascii="方正仿宋_GBK" w:eastAsia="方正仿宋_GBK" w:hAnsiTheme="minorEastAsia"/>
          <w:szCs w:val="21"/>
        </w:rPr>
        <w:t>公交车身上设置的户外广告，应当采取喷涂和粘贴的形式。不得影响交通安全。车头、车尾部及车身两侧车窗玻璃不得设置户外广告。</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4.3.5.4 </w:t>
      </w:r>
      <w:r>
        <w:rPr>
          <w:rFonts w:hint="eastAsia" w:ascii="方正仿宋_GBK" w:eastAsia="方正仿宋_GBK"/>
          <w:szCs w:val="21"/>
        </w:rPr>
        <w:t xml:space="preserve"> </w:t>
      </w:r>
      <w:r>
        <w:rPr>
          <w:rFonts w:hint="eastAsia" w:ascii="方正仿宋_GBK" w:eastAsia="方正仿宋_GBK" w:hAnsiTheme="minorEastAsia"/>
          <w:szCs w:val="21"/>
        </w:rPr>
        <w:t>车身广告应当整洁、美观，不得对原车颜色全部遮盖，其色彩应与车体颜色协调，不得影响乘客识别。</w:t>
      </w:r>
    </w:p>
    <w:p>
      <w:pPr>
        <w:pStyle w:val="137"/>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4.3.5.5 </w:t>
      </w:r>
      <w:r>
        <w:rPr>
          <w:rFonts w:hint="eastAsia" w:ascii="方正仿宋_GBK" w:eastAsia="方正仿宋_GBK"/>
          <w:szCs w:val="21"/>
        </w:rPr>
        <w:t xml:space="preserve"> </w:t>
      </w:r>
      <w:r>
        <w:rPr>
          <w:rFonts w:hint="eastAsia" w:ascii="方正仿宋_GBK" w:eastAsia="方正仿宋_GBK" w:hAnsiTheme="minorEastAsia"/>
          <w:szCs w:val="21"/>
        </w:rPr>
        <w:t>机动车流动户外广告不得有下列情形：</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1</w:t>
      </w:r>
      <w:r>
        <w:rPr>
          <w:rFonts w:hint="eastAsia" w:ascii="方正仿宋_GBK" w:eastAsia="方正仿宋_GBK" w:hAnsiTheme="minorEastAsia"/>
          <w:b/>
          <w:szCs w:val="21"/>
        </w:rPr>
        <w:t>）</w:t>
      </w:r>
      <w:r>
        <w:rPr>
          <w:rFonts w:hint="eastAsia" w:ascii="方正仿宋_GBK" w:eastAsia="方正仿宋_GBK" w:hAnsiTheme="minorEastAsia"/>
          <w:szCs w:val="21"/>
        </w:rPr>
        <w:t>遮挡车辆服务标识和车灯的。</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遮挡经营者名称和监督电话的。</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设置电子显示屏的。</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播放有声广告的。</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5</w:t>
      </w:r>
      <w:r>
        <w:rPr>
          <w:rFonts w:hint="eastAsia" w:ascii="方正仿宋_GBK" w:eastAsia="方正仿宋_GBK" w:hAnsiTheme="minorEastAsia"/>
          <w:b/>
          <w:szCs w:val="21"/>
        </w:rPr>
        <w:t>）</w:t>
      </w:r>
      <w:r>
        <w:rPr>
          <w:rFonts w:hint="eastAsia" w:ascii="方正仿宋_GBK" w:eastAsia="方正仿宋_GBK" w:hAnsiTheme="minorEastAsia"/>
          <w:spacing w:val="4"/>
          <w:szCs w:val="21"/>
        </w:rPr>
        <w:t>在其它影响乘客人身安全和车辆行驶安全的部位设置广告的</w:t>
      </w:r>
      <w:r>
        <w:rPr>
          <w:rFonts w:hint="eastAsia" w:ascii="方正仿宋_GBK" w:eastAsia="方正仿宋_GBK" w:hAnsiTheme="minorEastAsia"/>
          <w:szCs w:val="21"/>
        </w:rPr>
        <w:t>。</w:t>
      </w:r>
      <w:r>
        <w:rPr>
          <w:rFonts w:hint="eastAsia" w:ascii="方正仿宋_GBK" w:eastAsia="方正仿宋_GBK"/>
          <w:szCs w:val="21"/>
        </w:rPr>
        <w:br w:type="page"/>
      </w: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Cs w:val="32"/>
        </w:rPr>
      </w:pPr>
      <w:r>
        <w:rPr>
          <w:rFonts w:hint="eastAsia" w:ascii="方正黑体_GBK" w:hAnsi="Times New Roman" w:eastAsia="方正黑体_GBK"/>
          <w:b w:val="0"/>
          <w:szCs w:val="32"/>
        </w:rPr>
        <w:t>5  广告照明和用电</w:t>
      </w:r>
    </w:p>
    <w:p>
      <w:pPr>
        <w:pStyle w:val="4"/>
        <w:keepNext w:val="0"/>
        <w:keepLines w:val="0"/>
        <w:adjustRightInd w:val="0"/>
        <w:snapToGrid w:val="0"/>
        <w:spacing w:before="120" w:beforeLines="50" w:after="120" w:afterLines="50" w:line="200" w:lineRule="exact"/>
        <w:jc w:val="center"/>
        <w:rPr>
          <w:rFonts w:ascii="Times New Roman" w:hAnsi="Times New Roman"/>
          <w:sz w:val="21"/>
          <w:szCs w:val="21"/>
        </w:rPr>
      </w:pP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5.1  </w:t>
      </w:r>
      <w:r>
        <w:rPr>
          <w:rFonts w:hint="eastAsia" w:ascii="方正楷体_GBK" w:hAnsi="Times New Roman" w:eastAsia="方正楷体_GBK"/>
          <w:b w:val="0"/>
          <w:sz w:val="21"/>
          <w:szCs w:val="21"/>
        </w:rPr>
        <w:t>一般规定</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5.1.1 </w:t>
      </w:r>
      <w:r>
        <w:rPr>
          <w:rFonts w:hint="eastAsia" w:ascii="方正仿宋_GBK" w:eastAsia="方正仿宋_GBK"/>
          <w:szCs w:val="21"/>
        </w:rPr>
        <w:t xml:space="preserve"> </w:t>
      </w:r>
      <w:r>
        <w:rPr>
          <w:rFonts w:hint="eastAsia" w:ascii="方正仿宋_GBK" w:eastAsia="方正仿宋_GBK" w:hAnsiTheme="minorEastAsia"/>
          <w:szCs w:val="21"/>
        </w:rPr>
        <w:t>户外广告的照明应城市夜景照明专项规划的要求，并与所在区域的整体灯光环境气氛相协调。</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5.1.2 </w:t>
      </w:r>
      <w:r>
        <w:rPr>
          <w:rFonts w:hint="eastAsia" w:ascii="方正仿宋_GBK" w:eastAsia="方正仿宋_GBK"/>
          <w:szCs w:val="21"/>
        </w:rPr>
        <w:t xml:space="preserve"> </w:t>
      </w:r>
      <w:r>
        <w:rPr>
          <w:rFonts w:hint="eastAsia" w:ascii="方正仿宋_GBK" w:eastAsia="方正仿宋_GBK" w:hAnsiTheme="minorEastAsia"/>
          <w:szCs w:val="21"/>
        </w:rPr>
        <w:t>户外广告照明宜优先选用节能、环保的新光源、新灯具，并应符合有关标准规范，并保证供电设施和配电设施的安全。</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5.1.3 </w:t>
      </w:r>
      <w:r>
        <w:rPr>
          <w:rFonts w:hint="eastAsia" w:ascii="方正仿宋_GBK" w:eastAsia="方正仿宋_GBK"/>
          <w:szCs w:val="21"/>
        </w:rPr>
        <w:t xml:space="preserve"> </w:t>
      </w:r>
      <w:r>
        <w:rPr>
          <w:rFonts w:hint="eastAsia" w:ascii="方正仿宋_GBK" w:eastAsia="方正仿宋_GBK" w:hAnsiTheme="minorEastAsia"/>
          <w:szCs w:val="21"/>
        </w:rPr>
        <w:t>户外广告设施的用电应以低压供电为主，宜采用三相五线制供电，电路设计应符合</w:t>
      </w:r>
      <w:r>
        <w:rPr>
          <w:rFonts w:hint="eastAsia" w:ascii="方正仿宋_GBK" w:eastAsia="方正仿宋_GBK"/>
          <w:szCs w:val="21"/>
        </w:rPr>
        <w:t>JGJ 16</w:t>
      </w:r>
      <w:r>
        <w:rPr>
          <w:rFonts w:hint="eastAsia" w:ascii="方正仿宋_GBK" w:eastAsia="方正仿宋_GBK" w:hAnsiTheme="minorEastAsia"/>
          <w:szCs w:val="21"/>
        </w:rPr>
        <w:t>等标准规范。</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5.2  </w:t>
      </w:r>
      <w:r>
        <w:rPr>
          <w:rFonts w:hint="eastAsia" w:ascii="方正楷体_GBK" w:hAnsi="Times New Roman" w:eastAsia="方正楷体_GBK"/>
          <w:b w:val="0"/>
          <w:sz w:val="21"/>
          <w:szCs w:val="21"/>
        </w:rPr>
        <w:t>广告照明</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5.2.1</w:t>
      </w:r>
      <w:r>
        <w:rPr>
          <w:rFonts w:hint="eastAsia" w:ascii="方正仿宋_GBK" w:eastAsia="方正仿宋_GBK"/>
          <w:szCs w:val="21"/>
        </w:rPr>
        <w:t xml:space="preserve">  </w:t>
      </w:r>
      <w:r>
        <w:rPr>
          <w:rFonts w:hint="eastAsia" w:ascii="方正仿宋_GBK" w:eastAsia="方正仿宋_GBK" w:hAnsiTheme="minorEastAsia"/>
          <w:szCs w:val="21"/>
        </w:rPr>
        <w:t>交通管制信号装置周围及其背景空间内的广告照明，不得采用闪烁方式及辐射红、黄、绿三色的光源照明。</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5.2.2 </w:t>
      </w:r>
      <w:r>
        <w:rPr>
          <w:rFonts w:hint="eastAsia" w:ascii="方正仿宋_GBK" w:eastAsia="方正仿宋_GBK"/>
          <w:szCs w:val="21"/>
        </w:rPr>
        <w:t xml:space="preserve"> </w:t>
      </w:r>
      <w:r>
        <w:rPr>
          <w:rFonts w:hint="eastAsia" w:ascii="方正仿宋_GBK" w:eastAsia="方正仿宋_GBK" w:hAnsiTheme="minorEastAsia"/>
          <w:szCs w:val="21"/>
        </w:rPr>
        <w:t>除指示性、功能性标识外，行政办公楼</w:t>
      </w:r>
      <w:r>
        <w:rPr>
          <w:rFonts w:hint="eastAsia" w:ascii="方正仿宋_GBK" w:eastAsia="方正仿宋_GBK"/>
          <w:szCs w:val="21"/>
        </w:rPr>
        <w:t>（</w:t>
      </w:r>
      <w:r>
        <w:rPr>
          <w:rFonts w:hint="eastAsia" w:ascii="方正仿宋_GBK" w:eastAsia="方正仿宋_GBK" w:hAnsiTheme="minorEastAsia"/>
          <w:szCs w:val="21"/>
        </w:rPr>
        <w:t>区</w:t>
      </w:r>
      <w:r>
        <w:rPr>
          <w:rFonts w:hint="eastAsia" w:ascii="方正仿宋_GBK" w:eastAsia="方正仿宋_GBK"/>
          <w:szCs w:val="21"/>
        </w:rPr>
        <w:t>）</w:t>
      </w:r>
      <w:r>
        <w:rPr>
          <w:rFonts w:hint="eastAsia" w:ascii="方正仿宋_GBK" w:eastAsia="方正仿宋_GBK" w:hAnsiTheme="minorEastAsia"/>
          <w:szCs w:val="21"/>
        </w:rPr>
        <w:t>、居民楼</w:t>
      </w:r>
      <w:r>
        <w:rPr>
          <w:rFonts w:hint="eastAsia" w:ascii="方正仿宋_GBK" w:eastAsia="方正仿宋_GBK"/>
          <w:szCs w:val="21"/>
        </w:rPr>
        <w:t>（</w:t>
      </w:r>
      <w:r>
        <w:rPr>
          <w:rFonts w:hint="eastAsia" w:ascii="方正仿宋_GBK" w:eastAsia="方正仿宋_GBK" w:hAnsiTheme="minorEastAsia"/>
          <w:szCs w:val="21"/>
        </w:rPr>
        <w:t>区</w:t>
      </w:r>
      <w:r>
        <w:rPr>
          <w:rFonts w:hint="eastAsia" w:ascii="方正仿宋_GBK" w:eastAsia="方正仿宋_GBK"/>
          <w:szCs w:val="21"/>
        </w:rPr>
        <w:t>）</w:t>
      </w:r>
      <w:r>
        <w:rPr>
          <w:rFonts w:hint="eastAsia" w:ascii="方正仿宋_GBK" w:eastAsia="方正仿宋_GBK" w:hAnsiTheme="minorEastAsia"/>
          <w:szCs w:val="21"/>
        </w:rPr>
        <w:t>、医院病房楼</w:t>
      </w:r>
      <w:r>
        <w:rPr>
          <w:rFonts w:hint="eastAsia" w:ascii="方正仿宋_GBK" w:eastAsia="方正仿宋_GBK"/>
          <w:szCs w:val="21"/>
        </w:rPr>
        <w:t>（</w:t>
      </w:r>
      <w:r>
        <w:rPr>
          <w:rFonts w:hint="eastAsia" w:ascii="方正仿宋_GBK" w:eastAsia="方正仿宋_GBK" w:hAnsiTheme="minorEastAsia"/>
          <w:szCs w:val="21"/>
        </w:rPr>
        <w:t>区</w:t>
      </w:r>
      <w:r>
        <w:rPr>
          <w:rFonts w:hint="eastAsia" w:ascii="方正仿宋_GBK" w:eastAsia="方正仿宋_GBK"/>
          <w:szCs w:val="21"/>
        </w:rPr>
        <w:t>）</w:t>
      </w:r>
      <w:r>
        <w:rPr>
          <w:rFonts w:hint="eastAsia" w:ascii="方正仿宋_GBK" w:eastAsia="方正仿宋_GBK" w:hAnsiTheme="minorEastAsia"/>
          <w:szCs w:val="21"/>
        </w:rPr>
        <w:t>不宜设置广告照明。</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5.2.3</w:t>
      </w:r>
      <w:r>
        <w:rPr>
          <w:rFonts w:hint="eastAsia" w:ascii="方正仿宋_GBK" w:eastAsia="方正仿宋_GBK"/>
          <w:szCs w:val="21"/>
        </w:rPr>
        <w:t xml:space="preserve">  </w:t>
      </w:r>
      <w:r>
        <w:rPr>
          <w:rFonts w:hint="eastAsia" w:ascii="方正仿宋_GBK" w:eastAsia="方正仿宋_GBK" w:hAnsiTheme="minorEastAsia"/>
          <w:szCs w:val="21"/>
        </w:rPr>
        <w:t>照明亮度应符合</w:t>
      </w:r>
      <w:r>
        <w:rPr>
          <w:rFonts w:hint="eastAsia" w:ascii="方正仿宋_GBK" w:eastAsia="方正仿宋_GBK"/>
          <w:szCs w:val="21"/>
        </w:rPr>
        <w:t>GB/T 36101</w:t>
      </w:r>
      <w:r>
        <w:rPr>
          <w:rFonts w:hint="eastAsia" w:ascii="方正仿宋_GBK" w:eastAsia="方正仿宋_GBK" w:hAnsiTheme="minorEastAsia"/>
          <w:szCs w:val="21"/>
        </w:rPr>
        <w:t>、</w:t>
      </w:r>
      <w:r>
        <w:rPr>
          <w:rFonts w:hint="eastAsia" w:ascii="方正仿宋_GBK" w:eastAsia="方正仿宋_GBK"/>
          <w:szCs w:val="21"/>
        </w:rPr>
        <w:t>GB/T 35626</w:t>
      </w:r>
      <w:r>
        <w:rPr>
          <w:rFonts w:hint="eastAsia" w:ascii="方正仿宋_GBK" w:eastAsia="方正仿宋_GBK" w:hAnsiTheme="minorEastAsia"/>
          <w:szCs w:val="21"/>
        </w:rPr>
        <w:t>、</w:t>
      </w:r>
      <w:r>
        <w:rPr>
          <w:rFonts w:hint="eastAsia" w:ascii="方正仿宋_GBK" w:eastAsia="方正仿宋_GBK"/>
          <w:szCs w:val="21"/>
        </w:rPr>
        <w:t>JGJ/T 163</w:t>
      </w:r>
      <w:r>
        <w:rPr>
          <w:rFonts w:hint="eastAsia" w:ascii="方正仿宋_GBK" w:eastAsia="方正仿宋_GBK" w:hAnsiTheme="minorEastAsia"/>
          <w:szCs w:val="21"/>
        </w:rPr>
        <w:t>等有关标准规范的要求。</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5.2.4 </w:t>
      </w:r>
      <w:r>
        <w:rPr>
          <w:rFonts w:hint="eastAsia" w:ascii="方正仿宋_GBK" w:eastAsia="方正仿宋_GBK"/>
          <w:szCs w:val="21"/>
        </w:rPr>
        <w:t xml:space="preserve"> </w:t>
      </w:r>
      <w:r>
        <w:rPr>
          <w:rFonts w:hint="eastAsia" w:ascii="方正仿宋_GBK" w:eastAsia="方正仿宋_GBK" w:hAnsiTheme="minorEastAsia"/>
          <w:szCs w:val="21"/>
        </w:rPr>
        <w:t>照明设施的布置应保证安全，避免漏电和灯具等零部件的脱落。</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sz w:val="21"/>
          <w:szCs w:val="21"/>
        </w:rPr>
      </w:pPr>
      <w:bookmarkStart w:id="47" w:name="_Toc17388207"/>
      <w:r>
        <w:rPr>
          <w:rFonts w:hint="eastAsia" w:ascii="方正楷体_GBK" w:hAnsi="Times New Roman" w:eastAsia="方正楷体_GBK"/>
          <w:sz w:val="21"/>
          <w:szCs w:val="21"/>
        </w:rPr>
        <w:t xml:space="preserve">5.3  </w:t>
      </w:r>
      <w:r>
        <w:rPr>
          <w:rFonts w:hint="eastAsia" w:ascii="方正楷体_GBK" w:hAnsi="Times New Roman" w:eastAsia="方正楷体_GBK"/>
          <w:b w:val="0"/>
          <w:sz w:val="21"/>
          <w:szCs w:val="21"/>
        </w:rPr>
        <w:t>广告用电</w:t>
      </w:r>
      <w:bookmarkEnd w:id="47"/>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5.3.1</w:t>
      </w:r>
      <w:r>
        <w:rPr>
          <w:rFonts w:hint="eastAsia" w:ascii="方正仿宋_GBK" w:eastAsia="方正仿宋_GBK"/>
          <w:szCs w:val="21"/>
        </w:rPr>
        <w:t xml:space="preserve">  </w:t>
      </w:r>
      <w:r>
        <w:rPr>
          <w:rFonts w:hint="eastAsia" w:ascii="方正仿宋_GBK" w:eastAsia="方正仿宋_GBK" w:hAnsiTheme="minorEastAsia"/>
          <w:szCs w:val="21"/>
        </w:rPr>
        <w:t>电气控制箱内应设隔离开关，配电线路应装置短路保护、过负荷保护、接地故障保护。电气设计应符合</w:t>
      </w:r>
      <w:r>
        <w:rPr>
          <w:rFonts w:hint="eastAsia" w:ascii="方正仿宋_GBK" w:eastAsia="方正仿宋_GBK"/>
          <w:szCs w:val="21"/>
        </w:rPr>
        <w:t>GB 50034</w:t>
      </w:r>
      <w:r>
        <w:rPr>
          <w:rFonts w:hint="eastAsia" w:ascii="方正仿宋_GBK" w:eastAsia="方正仿宋_GBK" w:hAnsiTheme="minorEastAsia"/>
          <w:szCs w:val="21"/>
        </w:rPr>
        <w:t>、</w:t>
      </w:r>
      <w:r>
        <w:rPr>
          <w:rFonts w:hint="eastAsia" w:ascii="方正仿宋_GBK" w:eastAsia="方正仿宋_GBK"/>
          <w:szCs w:val="21"/>
        </w:rPr>
        <w:t>GB 50054</w:t>
      </w:r>
      <w:r>
        <w:rPr>
          <w:rFonts w:hint="eastAsia" w:ascii="方正仿宋_GBK" w:eastAsia="方正仿宋_GBK" w:hAnsiTheme="minorEastAsia"/>
          <w:szCs w:val="21"/>
        </w:rPr>
        <w:t>等标准规范。</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5.3.2  </w:t>
      </w:r>
      <w:r>
        <w:rPr>
          <w:rFonts w:hint="eastAsia" w:ascii="方正仿宋_GBK" w:eastAsia="方正仿宋_GBK" w:hAnsiTheme="minorEastAsia"/>
          <w:szCs w:val="21"/>
        </w:rPr>
        <w:t>照明电路系统必须可靠接地。公共场所设置的户外广告设施，配电线路中应装置漏电保护；沿街</w:t>
      </w:r>
      <w:r>
        <w:rPr>
          <w:rFonts w:hint="eastAsia" w:ascii="方正仿宋_GBK" w:eastAsia="方正仿宋_GBK"/>
          <w:szCs w:val="21"/>
        </w:rPr>
        <w:t>（</w:t>
      </w:r>
      <w:r>
        <w:rPr>
          <w:rFonts w:hint="eastAsia" w:ascii="方正仿宋_GBK" w:eastAsia="方正仿宋_GBK" w:hAnsiTheme="minorEastAsia"/>
          <w:szCs w:val="21"/>
        </w:rPr>
        <w:t>或道路</w:t>
      </w:r>
      <w:r>
        <w:rPr>
          <w:rFonts w:hint="eastAsia" w:ascii="方正仿宋_GBK" w:eastAsia="方正仿宋_GBK"/>
          <w:szCs w:val="21"/>
        </w:rPr>
        <w:t>）</w:t>
      </w:r>
      <w:r>
        <w:rPr>
          <w:rFonts w:hint="eastAsia" w:ascii="方正仿宋_GBK" w:eastAsia="方正仿宋_GBK" w:hAnsiTheme="minorEastAsia"/>
          <w:szCs w:val="21"/>
        </w:rPr>
        <w:t>设置的户外广告设施，应按相关标准设置接地装置。</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5.3.3 </w:t>
      </w:r>
      <w:r>
        <w:rPr>
          <w:rFonts w:hint="eastAsia" w:ascii="方正仿宋_GBK" w:eastAsia="方正仿宋_GBK"/>
          <w:szCs w:val="21"/>
        </w:rPr>
        <w:t xml:space="preserve"> </w:t>
      </w:r>
      <w:r>
        <w:rPr>
          <w:rFonts w:hint="eastAsia" w:ascii="方正仿宋_GBK" w:eastAsia="方正仿宋_GBK" w:hAnsiTheme="minorEastAsia"/>
          <w:szCs w:val="21"/>
        </w:rPr>
        <w:t>电气件及其它材料的选用和安装必须考虑散热和阻燃性，并应适应所在场所的环境条件，应具有防潮、防雨水和防虫害侵蚀的功能。</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5.3.4 </w:t>
      </w:r>
      <w:r>
        <w:rPr>
          <w:rFonts w:hint="eastAsia" w:ascii="方正仿宋_GBK" w:eastAsia="方正仿宋_GBK"/>
          <w:szCs w:val="21"/>
        </w:rPr>
        <w:t xml:space="preserve"> </w:t>
      </w:r>
      <w:r>
        <w:rPr>
          <w:rFonts w:hint="eastAsia" w:ascii="方正仿宋_GBK" w:eastAsia="方正仿宋_GBK" w:hAnsiTheme="minorEastAsia"/>
          <w:szCs w:val="21"/>
        </w:rPr>
        <w:t>进线电缆应穿于护套管内，护套管的内径不应小于电缆外径的</w:t>
      </w:r>
      <w:r>
        <w:rPr>
          <w:rFonts w:hint="eastAsia" w:ascii="方正仿宋_GBK" w:eastAsia="方正仿宋_GBK"/>
          <w:szCs w:val="21"/>
        </w:rPr>
        <w:t>1.5</w:t>
      </w:r>
      <w:r>
        <w:rPr>
          <w:rFonts w:hint="eastAsia" w:ascii="方正仿宋_GBK" w:eastAsia="方正仿宋_GBK" w:hAnsiTheme="minorEastAsia"/>
          <w:szCs w:val="21"/>
        </w:rPr>
        <w:t>倍，进线电缆在管内不得有接头。电气控制箱底边距地面应大于</w:t>
      </w:r>
      <w:r>
        <w:rPr>
          <w:rFonts w:hint="eastAsia" w:ascii="方正仿宋_GBK" w:eastAsia="方正仿宋_GBK"/>
          <w:szCs w:val="21"/>
        </w:rPr>
        <w:t>1.5m</w:t>
      </w:r>
      <w:r>
        <w:rPr>
          <w:rFonts w:hint="eastAsia" w:ascii="方正仿宋_GBK" w:eastAsia="方正仿宋_GBK" w:hAnsiTheme="minorEastAsia"/>
          <w:szCs w:val="21"/>
        </w:rPr>
        <w:t>。落地式配电箱的底部应抬高，高出地面的高度室内不应低于0.</w:t>
      </w:r>
      <w:r>
        <w:rPr>
          <w:rFonts w:hint="eastAsia" w:ascii="方正仿宋_GBK" w:eastAsia="方正仿宋_GBK"/>
          <w:szCs w:val="21"/>
        </w:rPr>
        <w:t>5m</w:t>
      </w:r>
      <w:r>
        <w:rPr>
          <w:rFonts w:hint="eastAsia" w:ascii="方正仿宋_GBK" w:eastAsia="方正仿宋_GBK" w:hAnsiTheme="minorEastAsia"/>
          <w:szCs w:val="21"/>
        </w:rPr>
        <w:t>，室外不应低于</w:t>
      </w:r>
      <w:r>
        <w:rPr>
          <w:rFonts w:hint="eastAsia" w:ascii="方正仿宋_GBK" w:eastAsia="方正仿宋_GBK"/>
          <w:szCs w:val="21"/>
        </w:rPr>
        <w:t>2</w:t>
      </w:r>
      <w:r>
        <w:rPr>
          <w:rFonts w:hint="eastAsia" w:ascii="方正仿宋_GBK" w:eastAsia="方正仿宋_GBK" w:hAnsiTheme="minorEastAsia"/>
          <w:szCs w:val="21"/>
        </w:rPr>
        <w:t>m；其底座周围应采取封闭措施，并应能防止鼠、蛇等小动物进入箱内。</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5.3.5</w:t>
      </w:r>
      <w:r>
        <w:rPr>
          <w:rFonts w:hint="eastAsia" w:ascii="方正仿宋_GBK" w:eastAsia="方正仿宋_GBK"/>
          <w:szCs w:val="21"/>
        </w:rPr>
        <w:t xml:space="preserve">  </w:t>
      </w:r>
      <w:r>
        <w:rPr>
          <w:rFonts w:hint="eastAsia" w:ascii="方正仿宋_GBK" w:eastAsia="方正仿宋_GBK" w:hAnsiTheme="minorEastAsia"/>
          <w:szCs w:val="21"/>
        </w:rPr>
        <w:t>照明灯线应穿人绝缘护套管内，分路处应设置接线盒。</w:t>
      </w:r>
    </w:p>
    <w:p>
      <w:pPr>
        <w:pStyle w:val="138"/>
        <w:widowControl w:val="0"/>
        <w:numPr>
          <w:ilvl w:val="0"/>
          <w:numId w:val="0"/>
        </w:numPr>
        <w:spacing w:beforeLines="0" w:afterLines="0" w:line="320" w:lineRule="exact"/>
        <w:rPr>
          <w:rFonts w:ascii="方正仿宋_GBK" w:eastAsia="方正仿宋_GBK"/>
          <w:szCs w:val="21"/>
        </w:rPr>
      </w:pPr>
      <w:r>
        <w:rPr>
          <w:rFonts w:hint="eastAsia" w:ascii="方正仿宋_GBK" w:eastAsia="方正仿宋_GBK"/>
          <w:b/>
          <w:szCs w:val="21"/>
        </w:rPr>
        <w:t xml:space="preserve">5.3.6  </w:t>
      </w:r>
      <w:r>
        <w:rPr>
          <w:rFonts w:hint="eastAsia" w:ascii="方正仿宋_GBK" w:eastAsia="方正仿宋_GBK" w:hAnsiTheme="minorEastAsia"/>
          <w:szCs w:val="21"/>
        </w:rPr>
        <w:t>霓虹灯的配电回路应与其它照明回路分开，霓虹灯变压器前必须装置双极开关及熔断器。</w:t>
      </w:r>
    </w:p>
    <w:p>
      <w:pPr>
        <w:adjustRightInd w:val="0"/>
        <w:snapToGrid w:val="0"/>
        <w:spacing w:line="320" w:lineRule="exact"/>
        <w:ind w:firstLine="680" w:firstLineChars="200"/>
        <w:rPr>
          <w:rFonts w:ascii="方正仿宋_GBK" w:eastAsia="方正仿宋_GBK"/>
          <w:szCs w:val="21"/>
        </w:rPr>
      </w:pPr>
    </w:p>
    <w:p>
      <w:pPr>
        <w:spacing w:line="320" w:lineRule="exact"/>
        <w:ind w:firstLine="680" w:firstLineChars="200"/>
        <w:rPr>
          <w:rFonts w:eastAsiaTheme="minorEastAsia"/>
          <w:szCs w:val="21"/>
        </w:rPr>
      </w:pPr>
      <w:r>
        <w:rPr>
          <w:rFonts w:eastAsiaTheme="minorEastAsia"/>
          <w:szCs w:val="21"/>
        </w:rPr>
        <w:br w:type="page"/>
      </w: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Cs w:val="32"/>
        </w:rPr>
      </w:pPr>
      <w:r>
        <w:rPr>
          <w:rFonts w:ascii="方正黑体_GBK" w:hAnsi="Times New Roman" w:eastAsia="方正黑体_GBK"/>
          <w:b w:val="0"/>
          <w:szCs w:val="32"/>
        </w:rPr>
        <w:t>6  广告材料</w:t>
      </w:r>
    </w:p>
    <w:p>
      <w:pPr>
        <w:pStyle w:val="107"/>
        <w:widowControl w:val="0"/>
        <w:numPr>
          <w:ilvl w:val="0"/>
          <w:numId w:val="0"/>
        </w:numPr>
        <w:spacing w:beforeLines="0" w:afterLines="0" w:line="320" w:lineRule="exact"/>
        <w:ind w:firstLine="420" w:firstLineChars="200"/>
        <w:rPr>
          <w:rFonts w:ascii="Times New Roman" w:eastAsiaTheme="minorEastAsia"/>
          <w:szCs w:val="21"/>
        </w:rPr>
      </w:pP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ascii="方正楷体_GBK" w:hAnsi="Times New Roman" w:eastAsia="方正楷体_GBK"/>
          <w:sz w:val="21"/>
          <w:szCs w:val="21"/>
        </w:rPr>
        <w:t>6.1</w:t>
      </w:r>
      <w:r>
        <w:rPr>
          <w:rFonts w:hint="eastAsia" w:ascii="方正楷体_GBK" w:hAnsi="Times New Roman" w:eastAsia="方正楷体_GBK"/>
          <w:sz w:val="21"/>
          <w:szCs w:val="21"/>
        </w:rPr>
        <w:t xml:space="preserve">  </w:t>
      </w:r>
      <w:r>
        <w:rPr>
          <w:rFonts w:ascii="方正楷体_GBK" w:hAnsi="Times New Roman" w:eastAsia="方正楷体_GBK"/>
          <w:b w:val="0"/>
          <w:sz w:val="21"/>
          <w:szCs w:val="21"/>
        </w:rPr>
        <w:t>金属材料</w:t>
      </w:r>
    </w:p>
    <w:p>
      <w:pPr>
        <w:pStyle w:val="157"/>
        <w:widowControl w:val="0"/>
        <w:spacing w:line="320" w:lineRule="exact"/>
        <w:jc w:val="both"/>
        <w:rPr>
          <w:rFonts w:ascii="方正仿宋_GBK" w:eastAsia="方正仿宋_GBK"/>
        </w:rPr>
      </w:pPr>
      <w:r>
        <w:rPr>
          <w:rFonts w:hint="eastAsia" w:ascii="方正仿宋_GBK" w:eastAsia="方正仿宋_GBK"/>
          <w:b/>
        </w:rPr>
        <w:t xml:space="preserve">6.1.1 </w:t>
      </w:r>
      <w:r>
        <w:rPr>
          <w:rFonts w:hint="eastAsia" w:ascii="方正仿宋_GBK" w:eastAsia="方正仿宋_GBK"/>
        </w:rPr>
        <w:t xml:space="preserve"> </w:t>
      </w:r>
      <w:r>
        <w:rPr>
          <w:rFonts w:hint="eastAsia" w:ascii="方正仿宋_GBK" w:eastAsia="方正仿宋_GBK" w:hAnsiTheme="minorEastAsia"/>
        </w:rPr>
        <w:t>结构所采用的钢材，应符合</w:t>
      </w:r>
      <w:r>
        <w:rPr>
          <w:rFonts w:hint="eastAsia" w:ascii="方正仿宋_GBK" w:eastAsia="方正仿宋_GBK"/>
        </w:rPr>
        <w:t>GB/T 700</w:t>
      </w:r>
      <w:r>
        <w:rPr>
          <w:rFonts w:hint="eastAsia" w:ascii="方正仿宋_GBK" w:eastAsia="方正仿宋_GBK" w:hAnsiTheme="minorEastAsia"/>
        </w:rPr>
        <w:t>、</w:t>
      </w:r>
      <w:r>
        <w:rPr>
          <w:rFonts w:hint="eastAsia" w:ascii="方正仿宋_GBK" w:eastAsia="方正仿宋_GBK"/>
        </w:rPr>
        <w:t>GB/T 1591</w:t>
      </w:r>
      <w:r>
        <w:rPr>
          <w:rFonts w:hint="eastAsia" w:ascii="方正仿宋_GBK" w:eastAsia="方正仿宋_GBK" w:hAnsiTheme="minorEastAsia"/>
        </w:rPr>
        <w:t>等标准规范；当采用其他牌号钢时，应符合现行有关标准的规定；并应附有质量检验报告。</w:t>
      </w:r>
    </w:p>
    <w:p>
      <w:pPr>
        <w:pStyle w:val="157"/>
        <w:widowControl w:val="0"/>
        <w:spacing w:line="320" w:lineRule="exact"/>
        <w:jc w:val="both"/>
        <w:rPr>
          <w:rFonts w:ascii="方正仿宋_GBK" w:eastAsia="方正仿宋_GBK"/>
        </w:rPr>
      </w:pPr>
      <w:r>
        <w:rPr>
          <w:rFonts w:hint="eastAsia" w:ascii="方正仿宋_GBK" w:eastAsia="方正仿宋_GBK"/>
          <w:b/>
        </w:rPr>
        <w:t>6.1.2</w:t>
      </w:r>
      <w:r>
        <w:rPr>
          <w:rFonts w:hint="eastAsia" w:ascii="方正仿宋_GBK" w:eastAsia="方正仿宋_GBK"/>
        </w:rPr>
        <w:t xml:space="preserve">  </w:t>
      </w:r>
      <w:r>
        <w:rPr>
          <w:rFonts w:hint="eastAsia" w:ascii="方正仿宋_GBK" w:eastAsia="方正仿宋_GBK" w:hAnsiTheme="minorEastAsia"/>
        </w:rPr>
        <w:t>面框架所采用的金属材料，应符合</w:t>
      </w:r>
      <w:r>
        <w:rPr>
          <w:rFonts w:hint="eastAsia" w:ascii="方正仿宋_GBK" w:eastAsia="方正仿宋_GBK"/>
        </w:rPr>
        <w:t>GB/T 3280</w:t>
      </w:r>
      <w:r>
        <w:rPr>
          <w:rFonts w:hint="eastAsia" w:ascii="方正仿宋_GBK" w:eastAsia="方正仿宋_GBK" w:hAnsiTheme="minorEastAsia"/>
        </w:rPr>
        <w:t>、</w:t>
      </w:r>
      <w:r>
        <w:rPr>
          <w:rFonts w:hint="eastAsia" w:ascii="方正仿宋_GBK" w:eastAsia="方正仿宋_GBK"/>
        </w:rPr>
        <w:t>GB/T 3880.1</w:t>
      </w:r>
      <w:r>
        <w:rPr>
          <w:rFonts w:hint="eastAsia" w:ascii="方正仿宋_GBK" w:eastAsia="方正仿宋_GBK" w:hAnsiTheme="minorEastAsia"/>
        </w:rPr>
        <w:t>～</w:t>
      </w:r>
      <w:r>
        <w:rPr>
          <w:rFonts w:hint="eastAsia" w:ascii="方正仿宋_GBK" w:eastAsia="方正仿宋_GBK"/>
        </w:rPr>
        <w:t>GB/T 3880.3</w:t>
      </w:r>
      <w:r>
        <w:rPr>
          <w:rFonts w:hint="eastAsia" w:ascii="方正仿宋_GBK" w:eastAsia="方正仿宋_GBK" w:hAnsiTheme="minorEastAsia"/>
        </w:rPr>
        <w:t>、</w:t>
      </w:r>
      <w:r>
        <w:rPr>
          <w:rFonts w:hint="eastAsia" w:ascii="方正仿宋_GBK" w:eastAsia="方正仿宋_GBK"/>
        </w:rPr>
        <w:t>GB/T 6892</w:t>
      </w:r>
      <w:r>
        <w:rPr>
          <w:rFonts w:hint="eastAsia" w:ascii="方正仿宋_GBK" w:eastAsia="方正仿宋_GBK" w:hAnsiTheme="minorEastAsia"/>
        </w:rPr>
        <w:t>、</w:t>
      </w:r>
      <w:r>
        <w:rPr>
          <w:rFonts w:hint="eastAsia" w:ascii="方正仿宋_GBK" w:eastAsia="方正仿宋_GBK"/>
        </w:rPr>
        <w:t>GB/T 18705</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 xml:space="preserve">6.1.3 </w:t>
      </w:r>
      <w:r>
        <w:rPr>
          <w:rFonts w:hint="eastAsia" w:ascii="方正仿宋_GBK" w:eastAsia="方正仿宋_GBK"/>
        </w:rPr>
        <w:t xml:space="preserve"> </w:t>
      </w:r>
      <w:r>
        <w:rPr>
          <w:rFonts w:hint="eastAsia" w:ascii="方正仿宋_GBK" w:eastAsia="方正仿宋_GBK" w:hAnsiTheme="minorEastAsia"/>
        </w:rPr>
        <w:t>结构所采用的钢材应具有抗拉强度、伸长率、屈服强度、冷弯试验、冲击韧性及硫、磷含量的检验报告，焊接结构尚应具有碳含量的检验报告。</w:t>
      </w:r>
    </w:p>
    <w:p>
      <w:pPr>
        <w:pStyle w:val="4"/>
        <w:keepNext w:val="0"/>
        <w:keepLines w:val="0"/>
        <w:adjustRightInd w:val="0"/>
        <w:snapToGrid w:val="0"/>
        <w:spacing w:before="120" w:beforeLines="50" w:after="120" w:afterLines="50" w:line="32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6.2 </w:t>
      </w:r>
      <w:r>
        <w:rPr>
          <w:rFonts w:hint="eastAsia" w:ascii="方正仿宋_GBK" w:hAnsi="Times New Roman" w:eastAsia="方正仿宋_GBK"/>
          <w:b w:val="0"/>
          <w:sz w:val="21"/>
          <w:szCs w:val="21"/>
        </w:rPr>
        <w:t xml:space="preserve"> 混凝土</w:t>
      </w:r>
    </w:p>
    <w:p>
      <w:pPr>
        <w:pStyle w:val="157"/>
        <w:widowControl w:val="0"/>
        <w:spacing w:line="320" w:lineRule="exact"/>
        <w:jc w:val="both"/>
        <w:rPr>
          <w:rFonts w:ascii="方正仿宋_GBK" w:eastAsia="方正仿宋_GBK"/>
        </w:rPr>
      </w:pPr>
      <w:r>
        <w:rPr>
          <w:rFonts w:hint="eastAsia" w:ascii="方正仿宋_GBK" w:eastAsia="方正仿宋_GBK"/>
          <w:b/>
        </w:rPr>
        <w:t xml:space="preserve">6.2.1 </w:t>
      </w:r>
      <w:r>
        <w:rPr>
          <w:rFonts w:hint="eastAsia" w:ascii="方正仿宋_GBK" w:eastAsia="方正仿宋_GBK"/>
        </w:rPr>
        <w:t xml:space="preserve"> </w:t>
      </w:r>
      <w:r>
        <w:rPr>
          <w:rFonts w:hint="eastAsia" w:ascii="方正仿宋_GBK" w:eastAsia="方正仿宋_GBK" w:hAnsiTheme="minorEastAsia"/>
        </w:rPr>
        <w:t>基础及钢筋混凝土结构所采用的水泥，应符合</w:t>
      </w:r>
      <w:r>
        <w:rPr>
          <w:rFonts w:hint="eastAsia" w:ascii="方正仿宋_GBK" w:eastAsia="方正仿宋_GBK"/>
        </w:rPr>
        <w:t>GB 175</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6.2.2</w:t>
      </w:r>
      <w:r>
        <w:rPr>
          <w:rFonts w:hint="eastAsia" w:ascii="方正仿宋_GBK" w:eastAsia="方正仿宋_GBK"/>
        </w:rPr>
        <w:t xml:space="preserve">  </w:t>
      </w:r>
      <w:r>
        <w:rPr>
          <w:rFonts w:hint="eastAsia" w:ascii="方正仿宋_GBK" w:eastAsia="方正仿宋_GBK" w:hAnsiTheme="minorEastAsia"/>
        </w:rPr>
        <w:t>基础及钢筋混凝土结构所采用的砂、石，应符合</w:t>
      </w:r>
      <w:r>
        <w:rPr>
          <w:rFonts w:hint="eastAsia" w:ascii="方正仿宋_GBK" w:eastAsia="方正仿宋_GBK"/>
        </w:rPr>
        <w:t>JGJ 52</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 xml:space="preserve">6.2.3 </w:t>
      </w:r>
      <w:r>
        <w:rPr>
          <w:rFonts w:hint="eastAsia" w:ascii="方正仿宋_GBK" w:eastAsia="方正仿宋_GBK"/>
        </w:rPr>
        <w:t xml:space="preserve"> </w:t>
      </w:r>
      <w:r>
        <w:rPr>
          <w:rFonts w:hint="eastAsia" w:ascii="方正仿宋_GBK" w:eastAsia="方正仿宋_GBK" w:hAnsiTheme="minorEastAsia"/>
        </w:rPr>
        <w:t>基础及钢筋混凝土结构所采用钢筋，应符合现行</w:t>
      </w:r>
      <w:r>
        <w:rPr>
          <w:rFonts w:hint="eastAsia" w:ascii="方正仿宋_GBK" w:eastAsia="方正仿宋_GBK"/>
        </w:rPr>
        <w:t>GB 1499.1</w:t>
      </w:r>
      <w:r>
        <w:rPr>
          <w:rFonts w:hint="eastAsia" w:ascii="方正仿宋_GBK" w:eastAsia="方正仿宋_GBK" w:hAnsiTheme="minorEastAsia"/>
        </w:rPr>
        <w:t>、</w:t>
      </w:r>
      <w:r>
        <w:rPr>
          <w:rFonts w:hint="eastAsia" w:ascii="方正仿宋_GBK" w:eastAsia="方正仿宋_GBK"/>
        </w:rPr>
        <w:t>GB 1499.2</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 xml:space="preserve">6.2.4 </w:t>
      </w:r>
      <w:r>
        <w:rPr>
          <w:rFonts w:hint="eastAsia" w:ascii="方正仿宋_GBK" w:eastAsia="方正仿宋_GBK"/>
        </w:rPr>
        <w:t xml:space="preserve"> </w:t>
      </w:r>
      <w:r>
        <w:rPr>
          <w:rFonts w:hint="eastAsia" w:ascii="方正仿宋_GBK" w:eastAsia="方正仿宋_GBK" w:hAnsiTheme="minorEastAsia"/>
        </w:rPr>
        <w:t>基础及钢筋混凝土结构的混凝土强度等级不应低于</w:t>
      </w:r>
      <w:r>
        <w:rPr>
          <w:rFonts w:hint="eastAsia" w:ascii="方正仿宋_GBK" w:eastAsia="方正仿宋_GBK"/>
        </w:rPr>
        <w:t>C20</w:t>
      </w:r>
      <w:r>
        <w:rPr>
          <w:rFonts w:hint="eastAsia" w:ascii="方正仿宋_GBK" w:eastAsia="方正仿宋_GBK" w:hAnsiTheme="minorEastAsia"/>
        </w:rPr>
        <w:t>。</w:t>
      </w:r>
    </w:p>
    <w:p>
      <w:pPr>
        <w:pStyle w:val="4"/>
        <w:keepNext w:val="0"/>
        <w:keepLines w:val="0"/>
        <w:adjustRightInd w:val="0"/>
        <w:snapToGrid w:val="0"/>
        <w:spacing w:before="120" w:beforeLines="50" w:after="120" w:afterLines="50" w:line="32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6.3  </w:t>
      </w:r>
      <w:r>
        <w:rPr>
          <w:rFonts w:hint="eastAsia" w:ascii="方正仿宋_GBK" w:hAnsi="Times New Roman" w:eastAsia="方正仿宋_GBK"/>
          <w:b w:val="0"/>
          <w:sz w:val="21"/>
          <w:szCs w:val="21"/>
        </w:rPr>
        <w:t>焊接材料</w:t>
      </w:r>
    </w:p>
    <w:p>
      <w:pPr>
        <w:pStyle w:val="157"/>
        <w:widowControl w:val="0"/>
        <w:spacing w:line="320" w:lineRule="exact"/>
        <w:jc w:val="both"/>
        <w:rPr>
          <w:rFonts w:ascii="方正仿宋_GBK" w:eastAsia="方正仿宋_GBK"/>
        </w:rPr>
      </w:pPr>
      <w:r>
        <w:rPr>
          <w:rFonts w:hint="eastAsia" w:ascii="方正仿宋_GBK" w:eastAsia="方正仿宋_GBK"/>
          <w:b/>
        </w:rPr>
        <w:t xml:space="preserve">6.3.1  </w:t>
      </w:r>
      <w:r>
        <w:rPr>
          <w:rFonts w:hint="eastAsia" w:ascii="方正仿宋_GBK" w:eastAsia="方正仿宋_GBK" w:hAnsiTheme="minorEastAsia"/>
        </w:rPr>
        <w:t>手工焊接所采用的焊条，应符合</w:t>
      </w:r>
      <w:r>
        <w:rPr>
          <w:rFonts w:hint="eastAsia" w:ascii="方正仿宋_GBK" w:eastAsia="方正仿宋_GBK"/>
        </w:rPr>
        <w:t>GB/T 5117</w:t>
      </w:r>
      <w:r>
        <w:rPr>
          <w:rFonts w:hint="eastAsia" w:ascii="方正仿宋_GBK" w:eastAsia="方正仿宋_GBK" w:hAnsiTheme="minorEastAsia"/>
        </w:rPr>
        <w:t>、</w:t>
      </w:r>
      <w:r>
        <w:rPr>
          <w:rFonts w:hint="eastAsia" w:ascii="方正仿宋_GBK" w:eastAsia="方正仿宋_GBK"/>
        </w:rPr>
        <w:t>GB/T 5118</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 xml:space="preserve">6.3.2  </w:t>
      </w:r>
      <w:r>
        <w:rPr>
          <w:rFonts w:hint="eastAsia" w:ascii="方正仿宋_GBK" w:eastAsia="方正仿宋_GBK" w:hAnsiTheme="minorEastAsia"/>
        </w:rPr>
        <w:t>自动焊接或半自动焊接所采用的焊丝、焊剂，应符合</w:t>
      </w:r>
      <w:r>
        <w:rPr>
          <w:rFonts w:hint="eastAsia" w:ascii="方正仿宋_GBK" w:eastAsia="方正仿宋_GBK"/>
        </w:rPr>
        <w:t>GB/T 14957</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6.3.3</w:t>
      </w:r>
      <w:r>
        <w:rPr>
          <w:rFonts w:hint="eastAsia" w:ascii="方正仿宋_GBK" w:eastAsia="方正仿宋_GBK"/>
        </w:rPr>
        <w:t xml:space="preserve">  </w:t>
      </w:r>
      <w:r>
        <w:rPr>
          <w:rFonts w:hint="eastAsia" w:ascii="方正仿宋_GBK" w:eastAsia="方正仿宋_GBK" w:hAnsiTheme="minorEastAsia"/>
        </w:rPr>
        <w:t>气体保护焊所用的气体纯度应达到相关标准中的要求。</w:t>
      </w:r>
    </w:p>
    <w:p>
      <w:pPr>
        <w:pStyle w:val="4"/>
        <w:keepNext w:val="0"/>
        <w:keepLines w:val="0"/>
        <w:adjustRightInd w:val="0"/>
        <w:snapToGrid w:val="0"/>
        <w:spacing w:before="120" w:beforeLines="50" w:after="120" w:afterLines="50" w:line="32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6.4 </w:t>
      </w:r>
      <w:r>
        <w:rPr>
          <w:rFonts w:hint="eastAsia" w:ascii="方正仿宋_GBK" w:hAnsi="Times New Roman" w:eastAsia="方正仿宋_GBK"/>
          <w:b w:val="0"/>
          <w:sz w:val="21"/>
          <w:szCs w:val="21"/>
        </w:rPr>
        <w:t xml:space="preserve"> 镀锌等防腐处理</w:t>
      </w:r>
    </w:p>
    <w:p>
      <w:pPr>
        <w:pStyle w:val="157"/>
        <w:widowControl w:val="0"/>
        <w:spacing w:line="320" w:lineRule="exact"/>
        <w:jc w:val="both"/>
        <w:rPr>
          <w:rFonts w:ascii="方正仿宋_GBK" w:eastAsia="方正仿宋_GBK"/>
        </w:rPr>
      </w:pPr>
      <w:r>
        <w:rPr>
          <w:rFonts w:hint="eastAsia" w:ascii="方正仿宋_GBK" w:eastAsia="方正仿宋_GBK"/>
          <w:b/>
        </w:rPr>
        <w:t xml:space="preserve">6.4.1 </w:t>
      </w:r>
      <w:r>
        <w:rPr>
          <w:rFonts w:hint="eastAsia" w:ascii="方正仿宋_GBK" w:eastAsia="方正仿宋_GBK"/>
        </w:rPr>
        <w:t xml:space="preserve"> </w:t>
      </w:r>
      <w:r>
        <w:rPr>
          <w:rFonts w:hint="eastAsia" w:ascii="方正仿宋_GBK" w:eastAsia="方正仿宋_GBK" w:hAnsiTheme="minorEastAsia"/>
        </w:rPr>
        <w:t>钢结构制作完成后应进行防腐处理；镀敷材料以及涂料均应附有符合国家现行标准的检验证明材料，防腐涂料的型号、名称、颜色及有效期应与其质量证明文件相符。</w:t>
      </w:r>
    </w:p>
    <w:p>
      <w:pPr>
        <w:pStyle w:val="157"/>
        <w:widowControl w:val="0"/>
        <w:spacing w:line="320" w:lineRule="exact"/>
        <w:jc w:val="both"/>
        <w:rPr>
          <w:rFonts w:ascii="方正仿宋_GBK" w:eastAsia="方正仿宋_GBK"/>
        </w:rPr>
      </w:pPr>
      <w:r>
        <w:rPr>
          <w:rFonts w:hint="eastAsia" w:ascii="方正仿宋_GBK" w:eastAsia="方正仿宋_GBK"/>
          <w:b/>
        </w:rPr>
        <w:t xml:space="preserve">6.4.2  </w:t>
      </w:r>
      <w:r>
        <w:rPr>
          <w:rFonts w:hint="eastAsia" w:ascii="方正仿宋_GBK" w:eastAsia="方正仿宋_GBK" w:hAnsiTheme="minorEastAsia"/>
        </w:rPr>
        <w:t>金属构件防腐涂料涂装时，构件的除锈等级应达到</w:t>
      </w:r>
      <w:r>
        <w:rPr>
          <w:rFonts w:hint="eastAsia" w:ascii="方正仿宋_GBK" w:eastAsia="方正仿宋_GBK"/>
        </w:rPr>
        <w:t>GB/T 8923.1</w:t>
      </w:r>
      <w:r>
        <w:rPr>
          <w:rFonts w:hint="eastAsia" w:ascii="方正仿宋_GBK" w:eastAsia="方正仿宋_GBK" w:hAnsiTheme="minorEastAsia"/>
        </w:rPr>
        <w:t>等标准规范中的</w:t>
      </w:r>
      <w:r>
        <w:rPr>
          <w:rFonts w:hint="eastAsia" w:ascii="方正仿宋_GBK" w:eastAsia="方正仿宋_GBK"/>
        </w:rPr>
        <w:t>Sa2 1/2</w:t>
      </w:r>
      <w:r>
        <w:rPr>
          <w:rFonts w:hint="eastAsia" w:ascii="方正仿宋_GBK" w:eastAsia="方正仿宋_GBK" w:hAnsiTheme="minorEastAsia"/>
        </w:rPr>
        <w:t>级或</w:t>
      </w:r>
      <w:r>
        <w:rPr>
          <w:rFonts w:hint="eastAsia" w:ascii="方正仿宋_GBK" w:eastAsia="方正仿宋_GBK"/>
        </w:rPr>
        <w:t>St2</w:t>
      </w:r>
      <w:r>
        <w:rPr>
          <w:rFonts w:hint="eastAsia" w:ascii="方正仿宋_GBK" w:eastAsia="方正仿宋_GBK" w:hAnsiTheme="minorEastAsia"/>
        </w:rPr>
        <w:t>级的要求。</w:t>
      </w:r>
    </w:p>
    <w:p>
      <w:pPr>
        <w:pStyle w:val="157"/>
        <w:widowControl w:val="0"/>
        <w:spacing w:line="320" w:lineRule="exact"/>
        <w:jc w:val="both"/>
        <w:rPr>
          <w:rFonts w:ascii="方正仿宋_GBK" w:eastAsia="方正仿宋_GBK"/>
        </w:rPr>
      </w:pPr>
      <w:r>
        <w:rPr>
          <w:rFonts w:hint="eastAsia" w:ascii="方正仿宋_GBK" w:eastAsia="方正仿宋_GBK"/>
          <w:b/>
        </w:rPr>
        <w:t xml:space="preserve">6.4.3  </w:t>
      </w:r>
      <w:r>
        <w:rPr>
          <w:rFonts w:hint="eastAsia" w:ascii="方正仿宋_GBK" w:eastAsia="方正仿宋_GBK" w:hAnsiTheme="minorEastAsia"/>
        </w:rPr>
        <w:t>采用热浸镀锌法时，构件表面应光滑，不得有毛刺、满瘤和多余结块，并不得有过酸洗或露铁等缺陷，镀件的锌层应均匀、牢固，表面粗糙度、镀层厚度等并应符合</w:t>
      </w:r>
      <w:r>
        <w:rPr>
          <w:rFonts w:hint="eastAsia" w:ascii="方正仿宋_GBK" w:eastAsia="方正仿宋_GBK"/>
        </w:rPr>
        <w:t>GB/T 13912</w:t>
      </w:r>
      <w:r>
        <w:rPr>
          <w:rFonts w:hint="eastAsia" w:ascii="方正仿宋_GBK" w:eastAsia="方正仿宋_GBK" w:hAnsiTheme="minorEastAsia"/>
        </w:rPr>
        <w:t>等标准规范。</w:t>
      </w:r>
    </w:p>
    <w:p>
      <w:pPr>
        <w:pStyle w:val="4"/>
        <w:keepNext w:val="0"/>
        <w:keepLines w:val="0"/>
        <w:adjustRightInd w:val="0"/>
        <w:snapToGrid w:val="0"/>
        <w:spacing w:before="120" w:beforeLines="50" w:after="120" w:afterLines="50" w:line="32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6.5 </w:t>
      </w:r>
      <w:r>
        <w:rPr>
          <w:rFonts w:hint="eastAsia" w:ascii="方正仿宋_GBK" w:hAnsi="Times New Roman" w:eastAsia="方正仿宋_GBK"/>
          <w:b w:val="0"/>
          <w:sz w:val="21"/>
          <w:szCs w:val="21"/>
        </w:rPr>
        <w:t xml:space="preserve"> 其它材料</w:t>
      </w:r>
    </w:p>
    <w:p>
      <w:pPr>
        <w:pStyle w:val="157"/>
        <w:widowControl w:val="0"/>
        <w:spacing w:line="320" w:lineRule="exact"/>
        <w:jc w:val="both"/>
        <w:rPr>
          <w:rFonts w:ascii="方正仿宋_GBK" w:eastAsia="方正仿宋_GBK"/>
        </w:rPr>
      </w:pPr>
      <w:r>
        <w:rPr>
          <w:rFonts w:hint="eastAsia" w:ascii="方正仿宋_GBK" w:eastAsia="方正仿宋_GBK"/>
          <w:b/>
        </w:rPr>
        <w:t xml:space="preserve">6.5.1 </w:t>
      </w:r>
      <w:r>
        <w:rPr>
          <w:rFonts w:hint="eastAsia" w:ascii="方正仿宋_GBK" w:eastAsia="方正仿宋_GBK"/>
        </w:rPr>
        <w:t xml:space="preserve"> </w:t>
      </w:r>
      <w:r>
        <w:rPr>
          <w:rFonts w:hint="eastAsia" w:ascii="方正仿宋_GBK" w:eastAsia="方正仿宋_GBK" w:hAnsiTheme="minorEastAsia"/>
        </w:rPr>
        <w:t>螺栓、锚栓</w:t>
      </w:r>
      <w:r>
        <w:rPr>
          <w:rFonts w:hint="eastAsia" w:ascii="方正仿宋_GBK" w:eastAsia="方正仿宋_GBK"/>
        </w:rPr>
        <w:t>（</w:t>
      </w:r>
      <w:r>
        <w:rPr>
          <w:rFonts w:hint="eastAsia" w:ascii="方正仿宋_GBK" w:eastAsia="方正仿宋_GBK" w:hAnsiTheme="minorEastAsia"/>
        </w:rPr>
        <w:t>机械型和化学试剂型</w:t>
      </w:r>
      <w:r>
        <w:rPr>
          <w:rFonts w:hint="eastAsia" w:ascii="方正仿宋_GBK" w:eastAsia="方正仿宋_GBK"/>
        </w:rPr>
        <w:t>）</w:t>
      </w:r>
      <w:r>
        <w:rPr>
          <w:rFonts w:hint="eastAsia" w:ascii="方正仿宋_GBK" w:eastAsia="方正仿宋_GBK" w:hAnsiTheme="minorEastAsia"/>
        </w:rPr>
        <w:t>、地脚螺栓、自攻螺钉、螺母及垫圈等紧固件，应符合</w:t>
      </w:r>
      <w:r>
        <w:rPr>
          <w:rFonts w:hint="eastAsia" w:ascii="方正仿宋_GBK" w:eastAsia="方正仿宋_GBK"/>
        </w:rPr>
        <w:t>GB/T 3098.1</w:t>
      </w:r>
      <w:r>
        <w:rPr>
          <w:rFonts w:hint="eastAsia" w:ascii="方正仿宋_GBK" w:eastAsia="方正仿宋_GBK" w:hAnsiTheme="minorEastAsia"/>
        </w:rPr>
        <w:t>～</w:t>
      </w:r>
      <w:r>
        <w:rPr>
          <w:rFonts w:hint="eastAsia" w:ascii="方正仿宋_GBK" w:eastAsia="方正仿宋_GBK"/>
        </w:rPr>
        <w:t>GB/T 3098.22</w:t>
      </w:r>
      <w:r>
        <w:rPr>
          <w:rFonts w:hint="eastAsia" w:ascii="方正仿宋_GBK" w:eastAsia="方正仿宋_GBK" w:hAnsiTheme="minorEastAsia"/>
        </w:rPr>
        <w:t>等标准规范。禁止使用有锈蚀、裂纹、碰伤或混批的螺母、螺栓、垫圈等。</w:t>
      </w:r>
    </w:p>
    <w:p>
      <w:pPr>
        <w:pStyle w:val="157"/>
        <w:widowControl w:val="0"/>
        <w:spacing w:line="320" w:lineRule="exact"/>
        <w:jc w:val="both"/>
        <w:rPr>
          <w:rFonts w:ascii="方正仿宋_GBK" w:eastAsia="方正仿宋_GBK"/>
        </w:rPr>
      </w:pPr>
      <w:r>
        <w:rPr>
          <w:rFonts w:hint="eastAsia" w:ascii="方正仿宋_GBK" w:eastAsia="方正仿宋_GBK"/>
          <w:b/>
        </w:rPr>
        <w:t xml:space="preserve">6.5.2 </w:t>
      </w:r>
      <w:r>
        <w:rPr>
          <w:rFonts w:hint="eastAsia" w:ascii="方正仿宋_GBK" w:eastAsia="方正仿宋_GBK"/>
        </w:rPr>
        <w:t xml:space="preserve"> </w:t>
      </w:r>
      <w:r>
        <w:rPr>
          <w:rFonts w:hint="eastAsia" w:ascii="方正仿宋_GBK" w:eastAsia="方正仿宋_GBK" w:hAnsiTheme="minorEastAsia"/>
        </w:rPr>
        <w:t>钢结构用高强度螺栓</w:t>
      </w:r>
      <w:r>
        <w:rPr>
          <w:rFonts w:hint="eastAsia" w:ascii="方正仿宋_GBK" w:eastAsia="方正仿宋_GBK"/>
        </w:rPr>
        <w:t>（</w:t>
      </w:r>
      <w:r>
        <w:rPr>
          <w:rFonts w:hint="eastAsia" w:ascii="方正仿宋_GBK" w:eastAsia="方正仿宋_GBK" w:hAnsiTheme="minorEastAsia"/>
        </w:rPr>
        <w:t>大六角或扭剪型</w:t>
      </w:r>
      <w:r>
        <w:rPr>
          <w:rFonts w:hint="eastAsia" w:ascii="方正仿宋_GBK" w:eastAsia="方正仿宋_GBK"/>
        </w:rPr>
        <w:t>）</w:t>
      </w:r>
      <w:r>
        <w:rPr>
          <w:rFonts w:hint="eastAsia" w:ascii="方正仿宋_GBK" w:eastAsia="方正仿宋_GBK" w:hAnsiTheme="minorEastAsia"/>
        </w:rPr>
        <w:t>及其螺母、垫圈，其规格性能应符合</w:t>
      </w:r>
      <w:r>
        <w:rPr>
          <w:rFonts w:hint="eastAsia" w:ascii="方正仿宋_GBK" w:eastAsia="方正仿宋_GBK"/>
        </w:rPr>
        <w:t>GB/T 1231</w:t>
      </w:r>
      <w:r>
        <w:rPr>
          <w:rFonts w:hint="eastAsia" w:ascii="方正仿宋_GBK" w:eastAsia="方正仿宋_GBK" w:hAnsiTheme="minorEastAsia"/>
        </w:rPr>
        <w:t>、</w:t>
      </w:r>
      <w:r>
        <w:rPr>
          <w:rFonts w:hint="eastAsia" w:ascii="方正仿宋_GBK" w:eastAsia="方正仿宋_GBK"/>
        </w:rPr>
        <w:t>GB/T 3632</w:t>
      </w:r>
      <w:r>
        <w:rPr>
          <w:rFonts w:hint="eastAsia" w:ascii="方正仿宋_GBK" w:eastAsia="方正仿宋_GBK" w:hAnsiTheme="minorEastAsia"/>
        </w:rPr>
        <w:t>等标准规范。</w:t>
      </w:r>
    </w:p>
    <w:p>
      <w:pPr>
        <w:pStyle w:val="157"/>
        <w:widowControl w:val="0"/>
        <w:spacing w:line="320" w:lineRule="exact"/>
        <w:jc w:val="both"/>
        <w:rPr>
          <w:rFonts w:ascii="方正仿宋_GBK" w:eastAsia="方正仿宋_GBK"/>
        </w:rPr>
      </w:pPr>
      <w:r>
        <w:rPr>
          <w:rFonts w:hint="eastAsia" w:ascii="方正仿宋_GBK" w:eastAsia="方正仿宋_GBK"/>
          <w:b/>
        </w:rPr>
        <w:t xml:space="preserve">6.5.3 </w:t>
      </w:r>
      <w:r>
        <w:rPr>
          <w:rFonts w:hint="eastAsia" w:ascii="方正仿宋_GBK" w:eastAsia="方正仿宋_GBK"/>
        </w:rPr>
        <w:t xml:space="preserve"> </w:t>
      </w:r>
      <w:r>
        <w:rPr>
          <w:rFonts w:hint="eastAsia" w:ascii="方正仿宋_GBK" w:eastAsia="方正仿宋_GBK" w:hAnsiTheme="minorEastAsia"/>
        </w:rPr>
        <w:t>面板所采用的安全玻璃或聚碳酸酯板，其产品性能指标应符合</w:t>
      </w:r>
      <w:r>
        <w:rPr>
          <w:rFonts w:hint="eastAsia" w:ascii="方正仿宋_GBK" w:eastAsia="方正仿宋_GBK"/>
        </w:rPr>
        <w:t>GB/T 9963</w:t>
      </w:r>
      <w:r>
        <w:rPr>
          <w:rFonts w:hint="eastAsia" w:ascii="方正仿宋_GBK" w:eastAsia="方正仿宋_GBK" w:hAnsiTheme="minorEastAsia"/>
        </w:rPr>
        <w:t>、</w:t>
      </w:r>
      <w:r>
        <w:rPr>
          <w:rFonts w:hint="eastAsia" w:ascii="方正仿宋_GBK" w:eastAsia="方正仿宋_GBK"/>
        </w:rPr>
        <w:t>GB 9962</w:t>
      </w:r>
      <w:r>
        <w:rPr>
          <w:rFonts w:hint="eastAsia" w:ascii="方正仿宋_GBK" w:eastAsia="方正仿宋_GBK" w:hAnsiTheme="minorEastAsia"/>
        </w:rPr>
        <w:t>等标准规范。</w:t>
      </w:r>
    </w:p>
    <w:p>
      <w:pPr>
        <w:pStyle w:val="157"/>
        <w:widowControl w:val="0"/>
        <w:spacing w:line="320" w:lineRule="exact"/>
        <w:ind w:firstLine="420" w:firstLineChars="200"/>
        <w:jc w:val="both"/>
        <w:rPr>
          <w:rFonts w:ascii="Times New Roman" w:eastAsiaTheme="minorEastAsia"/>
        </w:rPr>
      </w:pP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Cs w:val="32"/>
        </w:rPr>
      </w:pPr>
      <w:bookmarkStart w:id="48" w:name="_Toc20663701"/>
      <w:bookmarkStart w:id="49" w:name="_Toc17388209"/>
      <w:r>
        <w:rPr>
          <w:rFonts w:ascii="方正黑体_GBK" w:hAnsi="Times New Roman" w:eastAsia="方正黑体_GBK"/>
          <w:b w:val="0"/>
          <w:szCs w:val="32"/>
        </w:rPr>
        <w:t>7  广告设计</w:t>
      </w:r>
      <w:bookmarkEnd w:id="48"/>
      <w:bookmarkEnd w:id="49"/>
    </w:p>
    <w:p>
      <w:pPr>
        <w:pStyle w:val="159"/>
        <w:widowControl w:val="0"/>
        <w:spacing w:line="320" w:lineRule="exact"/>
        <w:ind w:firstLine="420" w:firstLineChars="200"/>
        <w:jc w:val="both"/>
        <w:rPr>
          <w:rFonts w:ascii="Times New Roman" w:eastAsiaTheme="minorEastAsia"/>
        </w:rPr>
      </w:pPr>
    </w:p>
    <w:p>
      <w:pPr>
        <w:pStyle w:val="159"/>
        <w:widowControl w:val="0"/>
        <w:spacing w:line="320" w:lineRule="exact"/>
        <w:jc w:val="both"/>
        <w:rPr>
          <w:rFonts w:ascii="方正仿宋_GBK" w:eastAsia="方正仿宋_GBK"/>
        </w:rPr>
      </w:pPr>
      <w:r>
        <w:rPr>
          <w:rFonts w:hint="eastAsia" w:ascii="方正仿宋_GBK" w:eastAsia="方正仿宋_GBK"/>
          <w:b/>
        </w:rPr>
        <w:t xml:space="preserve">7.0.1 </w:t>
      </w:r>
      <w:r>
        <w:rPr>
          <w:rFonts w:hint="eastAsia" w:ascii="方正仿宋_GBK" w:eastAsia="方正仿宋_GBK"/>
        </w:rPr>
        <w:t xml:space="preserve"> </w:t>
      </w:r>
      <w:r>
        <w:rPr>
          <w:rFonts w:hint="eastAsia" w:ascii="方正仿宋_GBK" w:eastAsia="方正仿宋_GBK" w:hAnsiTheme="minorEastAsia"/>
        </w:rPr>
        <w:t>应由具备相关建筑设计资质的单位结合建筑整体布局、建筑物立面及周边环境要求进行设计。</w:t>
      </w:r>
    </w:p>
    <w:p>
      <w:pPr>
        <w:pStyle w:val="159"/>
        <w:widowControl w:val="0"/>
        <w:spacing w:line="320" w:lineRule="exact"/>
        <w:jc w:val="both"/>
        <w:rPr>
          <w:rFonts w:ascii="方正仿宋_GBK" w:eastAsia="方正仿宋_GBK"/>
        </w:rPr>
      </w:pPr>
      <w:r>
        <w:rPr>
          <w:rFonts w:hint="eastAsia" w:ascii="方正仿宋_GBK" w:eastAsia="方正仿宋_GBK"/>
          <w:b/>
        </w:rPr>
        <w:t>7.0.2</w:t>
      </w:r>
      <w:r>
        <w:rPr>
          <w:rFonts w:hint="eastAsia" w:ascii="方正仿宋_GBK" w:eastAsia="方正仿宋_GBK"/>
        </w:rPr>
        <w:t xml:space="preserve">  </w:t>
      </w:r>
      <w:r>
        <w:rPr>
          <w:rFonts w:hint="eastAsia" w:ascii="方正仿宋_GBK" w:eastAsia="方正仿宋_GBK" w:hAnsiTheme="minorEastAsia"/>
        </w:rPr>
        <w:t>除考虑广告设施自身强度外，作用在结构的风荷载等应按</w:t>
      </w:r>
      <w:r>
        <w:rPr>
          <w:rFonts w:hint="eastAsia" w:ascii="方正仿宋_GBK" w:eastAsia="方正仿宋_GBK"/>
        </w:rPr>
        <w:t>GB 50009</w:t>
      </w:r>
      <w:r>
        <w:rPr>
          <w:rFonts w:hint="eastAsia" w:ascii="方正仿宋_GBK" w:eastAsia="方正仿宋_GBK" w:hAnsiTheme="minorEastAsia"/>
        </w:rPr>
        <w:t>等规范的要求执行，其中基本风压应不低于</w:t>
      </w:r>
      <w:r>
        <w:rPr>
          <w:rFonts w:hint="eastAsia" w:ascii="方正仿宋_GBK" w:eastAsia="方正仿宋_GBK"/>
        </w:rPr>
        <w:t>0.45kN/m</w:t>
      </w:r>
      <w:r>
        <w:rPr>
          <w:rFonts w:hint="eastAsia" w:ascii="方正仿宋_GBK" w:eastAsia="方正仿宋_GBK"/>
          <w:vertAlign w:val="superscript"/>
        </w:rPr>
        <w:t>2</w:t>
      </w:r>
      <w:r>
        <w:rPr>
          <w:rFonts w:hint="eastAsia" w:ascii="方正仿宋_GBK" w:eastAsia="方正仿宋_GBK" w:hAnsiTheme="minorEastAsia"/>
        </w:rPr>
        <w:t>。地震载荷应按</w:t>
      </w:r>
      <w:r>
        <w:rPr>
          <w:rFonts w:hint="eastAsia" w:ascii="方正仿宋_GBK" w:eastAsia="方正仿宋_GBK"/>
        </w:rPr>
        <w:t>GB 50011</w:t>
      </w:r>
      <w:r>
        <w:rPr>
          <w:rFonts w:hint="eastAsia" w:ascii="方正仿宋_GBK" w:eastAsia="方正仿宋_GBK" w:hAnsiTheme="minorEastAsia"/>
        </w:rPr>
        <w:t>等有关的规定执行。其余设计应符合</w:t>
      </w:r>
      <w:r>
        <w:rPr>
          <w:rFonts w:hint="eastAsia" w:ascii="方正仿宋_GBK" w:eastAsia="方正仿宋_GBK"/>
        </w:rPr>
        <w:t>GB 50007</w:t>
      </w:r>
      <w:r>
        <w:rPr>
          <w:rFonts w:hint="eastAsia" w:ascii="方正仿宋_GBK" w:eastAsia="方正仿宋_GBK" w:hAnsiTheme="minorEastAsia"/>
        </w:rPr>
        <w:t>、</w:t>
      </w:r>
      <w:r>
        <w:rPr>
          <w:rFonts w:hint="eastAsia" w:ascii="方正仿宋_GBK" w:eastAsia="方正仿宋_GBK"/>
        </w:rPr>
        <w:t>GB 50010</w:t>
      </w:r>
      <w:r>
        <w:rPr>
          <w:rFonts w:hint="eastAsia" w:ascii="方正仿宋_GBK" w:eastAsia="方正仿宋_GBK" w:hAnsiTheme="minorEastAsia"/>
        </w:rPr>
        <w:t>、</w:t>
      </w:r>
      <w:r>
        <w:rPr>
          <w:rFonts w:hint="eastAsia" w:ascii="方正仿宋_GBK" w:eastAsia="方正仿宋_GBK"/>
        </w:rPr>
        <w:t>GB 50017</w:t>
      </w:r>
      <w:r>
        <w:rPr>
          <w:rFonts w:hint="eastAsia" w:ascii="方正仿宋_GBK" w:eastAsia="方正仿宋_GBK" w:hAnsiTheme="minorEastAsia"/>
        </w:rPr>
        <w:t>等标准规范。</w:t>
      </w:r>
    </w:p>
    <w:p>
      <w:pPr>
        <w:pStyle w:val="159"/>
        <w:widowControl w:val="0"/>
        <w:spacing w:line="320" w:lineRule="exact"/>
        <w:jc w:val="both"/>
        <w:rPr>
          <w:rFonts w:ascii="方正仿宋_GBK" w:eastAsia="方正仿宋_GBK"/>
        </w:rPr>
      </w:pPr>
      <w:r>
        <w:rPr>
          <w:rFonts w:hint="eastAsia" w:ascii="方正仿宋_GBK" w:eastAsia="方正仿宋_GBK"/>
          <w:b/>
        </w:rPr>
        <w:t>7.0.3</w:t>
      </w:r>
      <w:r>
        <w:rPr>
          <w:rFonts w:hint="eastAsia" w:ascii="方正仿宋_GBK" w:eastAsia="方正仿宋_GBK"/>
        </w:rPr>
        <w:t xml:space="preserve">  </w:t>
      </w:r>
      <w:r>
        <w:rPr>
          <w:rFonts w:hint="eastAsia" w:ascii="方正仿宋_GBK" w:eastAsia="方正仿宋_GBK" w:hAnsiTheme="minorEastAsia"/>
        </w:rPr>
        <w:t>应明确设计使用年限：大型落地式广告牌、大型高立柱广告设施，以及在构建筑物上设置的附属式户外广告，设计使用年限为</w:t>
      </w:r>
      <w:r>
        <w:rPr>
          <w:rFonts w:hint="eastAsia" w:ascii="方正仿宋_GBK" w:eastAsia="方正仿宋_GBK"/>
        </w:rPr>
        <w:t>20</w:t>
      </w:r>
      <w:r>
        <w:rPr>
          <w:rFonts w:hint="eastAsia" w:ascii="方正仿宋_GBK" w:eastAsia="方正仿宋_GBK" w:hAnsiTheme="minorEastAsia"/>
        </w:rPr>
        <w:t>年；其它地点设置的，设计使用年限为</w:t>
      </w:r>
      <w:r>
        <w:rPr>
          <w:rFonts w:hint="eastAsia" w:ascii="方正仿宋_GBK" w:eastAsia="方正仿宋_GBK"/>
        </w:rPr>
        <w:t>10</w:t>
      </w:r>
      <w:r>
        <w:rPr>
          <w:rFonts w:hint="eastAsia" w:ascii="方正仿宋_GBK" w:eastAsia="方正仿宋_GBK" w:hAnsiTheme="minorEastAsia"/>
        </w:rPr>
        <w:t>年。</w:t>
      </w:r>
    </w:p>
    <w:p>
      <w:pPr>
        <w:pStyle w:val="159"/>
        <w:widowControl w:val="0"/>
        <w:spacing w:line="320" w:lineRule="exact"/>
        <w:jc w:val="both"/>
        <w:rPr>
          <w:rFonts w:ascii="方正仿宋_GBK" w:eastAsia="方正仿宋_GBK"/>
        </w:rPr>
      </w:pPr>
      <w:r>
        <w:rPr>
          <w:rFonts w:hint="eastAsia" w:ascii="方正仿宋_GBK" w:eastAsia="方正仿宋_GBK"/>
          <w:b/>
        </w:rPr>
        <w:t>7.0.4</w:t>
      </w:r>
      <w:r>
        <w:rPr>
          <w:rFonts w:hint="eastAsia" w:ascii="方正仿宋_GBK" w:eastAsia="方正仿宋_GBK"/>
        </w:rPr>
        <w:t xml:space="preserve">  </w:t>
      </w:r>
      <w:r>
        <w:rPr>
          <w:rFonts w:hint="eastAsia" w:ascii="方正仿宋_GBK" w:eastAsia="方正仿宋_GBK" w:hAnsiTheme="minorEastAsia"/>
        </w:rPr>
        <w:t>附属式户外广告，还应考虑广告载荷对所附着的建</w:t>
      </w:r>
      <w:r>
        <w:rPr>
          <w:rFonts w:hint="eastAsia" w:ascii="方正仿宋_GBK" w:eastAsia="方正仿宋_GBK"/>
        </w:rPr>
        <w:t>（</w:t>
      </w:r>
      <w:r>
        <w:rPr>
          <w:rFonts w:hint="eastAsia" w:ascii="方正仿宋_GBK" w:eastAsia="方正仿宋_GBK" w:hAnsiTheme="minorEastAsia"/>
        </w:rPr>
        <w:t>构</w:t>
      </w:r>
      <w:r>
        <w:rPr>
          <w:rFonts w:hint="eastAsia" w:ascii="方正仿宋_GBK" w:eastAsia="方正仿宋_GBK"/>
        </w:rPr>
        <w:t>）</w:t>
      </w:r>
      <w:r>
        <w:rPr>
          <w:rFonts w:hint="eastAsia" w:ascii="方正仿宋_GBK" w:eastAsia="方正仿宋_GBK" w:hAnsiTheme="minorEastAsia"/>
        </w:rPr>
        <w:t>筑物整体及局部构件安全的影响。</w:t>
      </w:r>
    </w:p>
    <w:p>
      <w:pPr>
        <w:pStyle w:val="159"/>
        <w:widowControl w:val="0"/>
        <w:spacing w:line="320" w:lineRule="exact"/>
        <w:jc w:val="both"/>
        <w:rPr>
          <w:rFonts w:ascii="方正仿宋_GBK" w:eastAsia="方正仿宋_GBK"/>
        </w:rPr>
      </w:pPr>
      <w:r>
        <w:rPr>
          <w:rFonts w:hint="eastAsia" w:ascii="方正仿宋_GBK" w:eastAsia="方正仿宋_GBK"/>
          <w:b/>
        </w:rPr>
        <w:t>7.0.5</w:t>
      </w:r>
      <w:r>
        <w:rPr>
          <w:rFonts w:hint="eastAsia" w:ascii="方正仿宋_GBK" w:eastAsia="方正仿宋_GBK"/>
        </w:rPr>
        <w:t xml:space="preserve">  </w:t>
      </w:r>
      <w:r>
        <w:rPr>
          <w:rFonts w:hint="eastAsia" w:ascii="方正仿宋_GBK" w:eastAsia="方正仿宋_GBK" w:hAnsiTheme="minorEastAsia"/>
        </w:rPr>
        <w:t>广告牌与市政供电线路垂直净距、水平净距应符合相关规范安全净距规定，广告牌距低压导线或电话线净距不得小于</w:t>
      </w:r>
      <w:r>
        <w:rPr>
          <w:rFonts w:hint="eastAsia" w:ascii="方正仿宋_GBK" w:eastAsia="方正仿宋_GBK"/>
        </w:rPr>
        <w:t>0.5m</w:t>
      </w:r>
      <w:r>
        <w:rPr>
          <w:rFonts w:hint="eastAsia" w:ascii="方正仿宋_GBK" w:eastAsia="方正仿宋_GBK" w:hAnsiTheme="minorEastAsia"/>
        </w:rPr>
        <w:t>。</w:t>
      </w:r>
    </w:p>
    <w:p>
      <w:pPr>
        <w:pStyle w:val="159"/>
        <w:widowControl w:val="0"/>
        <w:spacing w:line="320" w:lineRule="exact"/>
        <w:jc w:val="both"/>
        <w:rPr>
          <w:rFonts w:ascii="方正仿宋_GBK" w:eastAsia="方正仿宋_GBK"/>
        </w:rPr>
      </w:pPr>
      <w:r>
        <w:rPr>
          <w:rFonts w:hint="eastAsia" w:ascii="方正仿宋_GBK" w:eastAsia="方正仿宋_GBK"/>
          <w:b/>
        </w:rPr>
        <w:t xml:space="preserve">7.0.6 </w:t>
      </w:r>
      <w:r>
        <w:rPr>
          <w:rFonts w:hint="eastAsia" w:ascii="方正仿宋_GBK" w:eastAsia="方正仿宋_GBK"/>
        </w:rPr>
        <w:t xml:space="preserve"> </w:t>
      </w:r>
      <w:r>
        <w:rPr>
          <w:rFonts w:hint="eastAsia" w:ascii="方正仿宋_GBK" w:eastAsia="方正仿宋_GBK" w:hAnsiTheme="minorEastAsia"/>
        </w:rPr>
        <w:t>应根据其所处的环境因地制宜，采取适当的防雷措施，并符合</w:t>
      </w:r>
      <w:r>
        <w:rPr>
          <w:rFonts w:hint="eastAsia" w:ascii="方正仿宋_GBK" w:eastAsia="方正仿宋_GBK"/>
        </w:rPr>
        <w:t>GB 50057</w:t>
      </w:r>
      <w:r>
        <w:rPr>
          <w:rFonts w:hint="eastAsia" w:ascii="方正仿宋_GBK" w:eastAsia="方正仿宋_GBK" w:hAnsiTheme="minorEastAsia"/>
        </w:rPr>
        <w:t>等标准规范要求。</w:t>
      </w:r>
    </w:p>
    <w:p>
      <w:pPr>
        <w:widowControl/>
        <w:jc w:val="left"/>
        <w:rPr>
          <w:rFonts w:eastAsiaTheme="minorEastAsia"/>
          <w:kern w:val="0"/>
          <w:szCs w:val="21"/>
        </w:rPr>
      </w:pPr>
      <w:r>
        <w:rPr>
          <w:rFonts w:eastAsiaTheme="minorEastAsia"/>
        </w:rPr>
        <w:br w:type="page"/>
      </w: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Cs w:val="32"/>
        </w:rPr>
      </w:pPr>
      <w:bookmarkStart w:id="50" w:name="_Toc20663702"/>
      <w:bookmarkStart w:id="51" w:name="_Toc17388210"/>
      <w:r>
        <w:rPr>
          <w:rFonts w:hint="eastAsia" w:ascii="方正黑体_GBK" w:hAnsi="Times New Roman" w:eastAsia="方正黑体_GBK"/>
          <w:b w:val="0"/>
          <w:szCs w:val="32"/>
        </w:rPr>
        <w:t>8  广告施工</w:t>
      </w:r>
      <w:bookmarkEnd w:id="50"/>
      <w:bookmarkEnd w:id="51"/>
    </w:p>
    <w:p>
      <w:pPr>
        <w:pStyle w:val="4"/>
        <w:keepNext w:val="0"/>
        <w:keepLines w:val="0"/>
        <w:adjustRightInd w:val="0"/>
        <w:snapToGrid w:val="0"/>
        <w:spacing w:before="120" w:beforeLines="50" w:after="120" w:afterLines="50" w:line="240" w:lineRule="exact"/>
        <w:jc w:val="center"/>
        <w:rPr>
          <w:rFonts w:ascii="Times New Roman" w:hAnsi="Times New Roman"/>
          <w:sz w:val="21"/>
          <w:szCs w:val="21"/>
        </w:rPr>
      </w:pP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8.1  </w:t>
      </w:r>
      <w:r>
        <w:rPr>
          <w:rFonts w:hint="eastAsia" w:ascii="方正楷体_GBK" w:hAnsi="Times New Roman" w:eastAsia="方正楷体_GBK"/>
          <w:b w:val="0"/>
          <w:sz w:val="21"/>
          <w:szCs w:val="21"/>
        </w:rPr>
        <w:t>一般规定</w:t>
      </w:r>
    </w:p>
    <w:p>
      <w:pPr>
        <w:pStyle w:val="157"/>
        <w:widowControl w:val="0"/>
        <w:spacing w:line="320" w:lineRule="exact"/>
        <w:jc w:val="both"/>
        <w:rPr>
          <w:rFonts w:ascii="方正仿宋_GBK" w:eastAsia="方正仿宋_GBK"/>
        </w:rPr>
      </w:pPr>
      <w:r>
        <w:rPr>
          <w:rFonts w:hint="eastAsia" w:ascii="方正仿宋_GBK" w:eastAsia="方正仿宋_GBK"/>
          <w:b/>
        </w:rPr>
        <w:t>8.1.1</w:t>
      </w:r>
      <w:r>
        <w:rPr>
          <w:rFonts w:hint="eastAsia" w:ascii="方正仿宋_GBK" w:eastAsia="方正仿宋_GBK"/>
        </w:rPr>
        <w:t xml:space="preserve">  </w:t>
      </w:r>
      <w:r>
        <w:rPr>
          <w:rFonts w:hint="eastAsia" w:ascii="方正仿宋_GBK" w:eastAsia="方正仿宋_GBK" w:hAnsiTheme="minorEastAsia"/>
        </w:rPr>
        <w:t>户外广告设施应由具备建筑、钢结构工程专业施工资质的企业，按设计图及标准要求进行施工。结构广告的焊接，其它材料的铆接、螺栓连接，必须按照相关技术规范和设计要求，施工过程应实行监理制度。</w:t>
      </w:r>
    </w:p>
    <w:p>
      <w:pPr>
        <w:pStyle w:val="157"/>
        <w:widowControl w:val="0"/>
        <w:spacing w:line="320" w:lineRule="exact"/>
        <w:jc w:val="both"/>
        <w:rPr>
          <w:rFonts w:ascii="方正仿宋_GBK" w:eastAsia="方正仿宋_GBK"/>
        </w:rPr>
      </w:pPr>
      <w:r>
        <w:rPr>
          <w:rFonts w:hint="eastAsia" w:ascii="方正仿宋_GBK" w:eastAsia="方正仿宋_GBK"/>
          <w:b/>
        </w:rPr>
        <w:t>8.1.2</w:t>
      </w:r>
      <w:r>
        <w:rPr>
          <w:rFonts w:hint="eastAsia" w:ascii="方正仿宋_GBK" w:eastAsia="方正仿宋_GBK"/>
        </w:rPr>
        <w:t xml:space="preserve">  户外广告设施钢结构构件加工制作与焊接，应符合GB 50205中的有关规定。焊条、焊剂、药芯焊丝等在使用前，应按其产品说明书及焊接工艺文件的规定进行烘焙和存放。</w:t>
      </w:r>
    </w:p>
    <w:p>
      <w:pPr>
        <w:pStyle w:val="157"/>
        <w:widowControl w:val="0"/>
        <w:spacing w:line="320" w:lineRule="exact"/>
        <w:jc w:val="both"/>
        <w:rPr>
          <w:rFonts w:ascii="方正仿宋_GBK" w:eastAsia="方正仿宋_GBK"/>
        </w:rPr>
      </w:pPr>
      <w:r>
        <w:rPr>
          <w:rFonts w:hint="eastAsia" w:ascii="方正仿宋_GBK" w:eastAsia="方正仿宋_GBK"/>
          <w:b/>
        </w:rPr>
        <w:t>8.1.3</w:t>
      </w:r>
      <w:r>
        <w:rPr>
          <w:rFonts w:hint="eastAsia" w:ascii="方正仿宋_GBK" w:eastAsia="方正仿宋_GBK"/>
        </w:rPr>
        <w:t xml:space="preserve">  广告与原有建（构）筑物的连接应确保连接可靠，牢固安全。连接埋置固定部位应和连接件强度等同。应尽量避免损坏附着建（构）筑物结构、防水层及其外装饰，无法避免时，应对受损部位采取可靠措施修复或加固。设置落地式广告其立柱垂直度和版面的水平度应符合相关的公差要求。</w:t>
      </w:r>
    </w:p>
    <w:p>
      <w:pPr>
        <w:pStyle w:val="157"/>
        <w:widowControl w:val="0"/>
        <w:spacing w:line="320" w:lineRule="exact"/>
        <w:jc w:val="both"/>
        <w:rPr>
          <w:rFonts w:ascii="方正仿宋_GBK" w:eastAsia="方正仿宋_GBK"/>
        </w:rPr>
      </w:pPr>
      <w:r>
        <w:rPr>
          <w:rFonts w:hint="eastAsia" w:ascii="方正仿宋_GBK" w:eastAsia="方正仿宋_GBK"/>
          <w:b/>
        </w:rPr>
        <w:t xml:space="preserve">8.1.4 </w:t>
      </w:r>
      <w:r>
        <w:rPr>
          <w:rFonts w:hint="eastAsia" w:ascii="方正仿宋_GBK" w:eastAsia="方正仿宋_GBK"/>
        </w:rPr>
        <w:t xml:space="preserve"> 结构、电气等安全结束，所有金属结构构件应进行除锈、防锈、防腐处理。</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8.2  </w:t>
      </w:r>
      <w:r>
        <w:rPr>
          <w:rFonts w:hint="eastAsia" w:ascii="方正楷体_GBK" w:hAnsi="Times New Roman" w:eastAsia="方正楷体_GBK"/>
          <w:b w:val="0"/>
          <w:sz w:val="21"/>
          <w:szCs w:val="21"/>
        </w:rPr>
        <w:t>验收</w:t>
      </w:r>
    </w:p>
    <w:p>
      <w:pPr>
        <w:pStyle w:val="157"/>
        <w:widowControl w:val="0"/>
        <w:spacing w:line="320" w:lineRule="exact"/>
        <w:jc w:val="both"/>
        <w:rPr>
          <w:rFonts w:ascii="方正仿宋_GBK" w:eastAsia="方正仿宋_GBK"/>
        </w:rPr>
      </w:pPr>
      <w:r>
        <w:rPr>
          <w:rFonts w:hint="eastAsia" w:ascii="方正仿宋_GBK" w:eastAsia="方正仿宋_GBK"/>
          <w:b/>
        </w:rPr>
        <w:t xml:space="preserve">8.2.1 </w:t>
      </w:r>
      <w:r>
        <w:rPr>
          <w:rFonts w:hint="eastAsia" w:ascii="方正仿宋_GBK" w:eastAsia="方正仿宋_GBK"/>
        </w:rPr>
        <w:t xml:space="preserve"> 户外广告设施工程竣工验收应由设置、设计、施工单位</w:t>
      </w:r>
      <w:r>
        <w:rPr>
          <w:rFonts w:hint="eastAsia" w:ascii="方正仿宋_GBK" w:eastAsia="方正仿宋_GBK" w:hAnsiTheme="minorEastAsia"/>
        </w:rPr>
        <w:t>或监理单位共同参与。在验收时应按本规范要求做好测试数据和验收意见的记录并签字确认。</w:t>
      </w:r>
    </w:p>
    <w:p>
      <w:pPr>
        <w:pStyle w:val="157"/>
        <w:widowControl w:val="0"/>
        <w:spacing w:line="320" w:lineRule="exact"/>
        <w:jc w:val="both"/>
        <w:rPr>
          <w:rFonts w:ascii="方正仿宋_GBK" w:eastAsia="方正仿宋_GBK"/>
        </w:rPr>
      </w:pPr>
      <w:r>
        <w:rPr>
          <w:rFonts w:hint="eastAsia" w:ascii="方正仿宋_GBK" w:eastAsia="方正仿宋_GBK"/>
          <w:b/>
        </w:rPr>
        <w:t xml:space="preserve">8.2.2 </w:t>
      </w:r>
      <w:r>
        <w:rPr>
          <w:rFonts w:hint="eastAsia" w:ascii="方正仿宋_GBK" w:eastAsia="方正仿宋_GBK"/>
        </w:rPr>
        <w:t xml:space="preserve"> </w:t>
      </w:r>
      <w:r>
        <w:rPr>
          <w:rFonts w:hint="eastAsia" w:ascii="方正仿宋_GBK" w:eastAsia="方正仿宋_GBK" w:hAnsiTheme="minorEastAsia"/>
        </w:rPr>
        <w:t>分项验收项目：</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rPr>
        <w:t>独立式户外广告的基础及接地装置、附属式户外广告的支座质量。</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2</w:t>
      </w:r>
      <w:r>
        <w:rPr>
          <w:rFonts w:hint="eastAsia" w:ascii="方正仿宋_GBK" w:eastAsia="方正仿宋_GBK" w:hAnsiTheme="minorEastAsia"/>
          <w:b/>
        </w:rPr>
        <w:t>）</w:t>
      </w:r>
      <w:r>
        <w:rPr>
          <w:rFonts w:hint="eastAsia" w:ascii="方正仿宋_GBK" w:eastAsia="方正仿宋_GBK" w:hAnsiTheme="minorEastAsia"/>
        </w:rPr>
        <w:t>钢结构构件质量。</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3</w:t>
      </w:r>
      <w:r>
        <w:rPr>
          <w:rFonts w:hint="eastAsia" w:ascii="方正仿宋_GBK" w:eastAsia="方正仿宋_GBK" w:hAnsiTheme="minorEastAsia"/>
          <w:b/>
        </w:rPr>
        <w:t>）</w:t>
      </w:r>
      <w:r>
        <w:rPr>
          <w:rFonts w:hint="eastAsia" w:ascii="方正仿宋_GBK" w:eastAsia="方正仿宋_GBK" w:hAnsiTheme="minorEastAsia"/>
        </w:rPr>
        <w:t>在安装现场分段组装完毕后，即将整体起吊的钢结构质量。</w:t>
      </w:r>
    </w:p>
    <w:p>
      <w:pPr>
        <w:pStyle w:val="157"/>
        <w:widowControl w:val="0"/>
        <w:spacing w:line="320" w:lineRule="exact"/>
        <w:jc w:val="both"/>
        <w:rPr>
          <w:rFonts w:ascii="方正仿宋_GBK" w:eastAsia="方正仿宋_GBK"/>
        </w:rPr>
      </w:pPr>
      <w:r>
        <w:rPr>
          <w:rFonts w:hint="eastAsia" w:ascii="方正仿宋_GBK" w:eastAsia="方正仿宋_GBK"/>
          <w:b/>
        </w:rPr>
        <w:t xml:space="preserve">8.2.3 </w:t>
      </w:r>
      <w:r>
        <w:rPr>
          <w:rFonts w:hint="eastAsia" w:ascii="方正仿宋_GBK" w:eastAsia="方正仿宋_GBK"/>
        </w:rPr>
        <w:t xml:space="preserve"> </w:t>
      </w:r>
      <w:r>
        <w:rPr>
          <w:rFonts w:hint="eastAsia" w:ascii="方正仿宋_GBK" w:eastAsia="方正仿宋_GBK" w:hAnsiTheme="minorEastAsia"/>
        </w:rPr>
        <w:t>竣工验收项目：</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rPr>
        <w:t>基础和钢筋混凝土结构施工应按</w:t>
      </w:r>
      <w:r>
        <w:rPr>
          <w:rFonts w:hint="eastAsia" w:ascii="方正仿宋_GBK" w:eastAsia="方正仿宋_GBK"/>
        </w:rPr>
        <w:t>GB 50202</w:t>
      </w:r>
      <w:r>
        <w:rPr>
          <w:rFonts w:hint="eastAsia" w:ascii="方正仿宋_GBK" w:eastAsia="方正仿宋_GBK" w:hAnsiTheme="minorEastAsia"/>
        </w:rPr>
        <w:t>和</w:t>
      </w:r>
      <w:r>
        <w:rPr>
          <w:rFonts w:hint="eastAsia" w:ascii="方正仿宋_GBK" w:eastAsia="方正仿宋_GBK"/>
        </w:rPr>
        <w:t>GB 50204</w:t>
      </w:r>
      <w:r>
        <w:rPr>
          <w:rFonts w:hint="eastAsia" w:ascii="方正仿宋_GBK" w:eastAsia="方正仿宋_GBK" w:hAnsiTheme="minorEastAsia"/>
        </w:rPr>
        <w:t>等标准规范执行。</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2</w:t>
      </w:r>
      <w:r>
        <w:rPr>
          <w:rFonts w:hint="eastAsia" w:ascii="方正仿宋_GBK" w:eastAsia="方正仿宋_GBK" w:hAnsiTheme="minorEastAsia"/>
          <w:b/>
        </w:rPr>
        <w:t>）</w:t>
      </w:r>
      <w:r>
        <w:rPr>
          <w:rFonts w:hint="eastAsia" w:ascii="方正仿宋_GBK" w:eastAsia="方正仿宋_GBK" w:hAnsiTheme="minorEastAsia"/>
        </w:rPr>
        <w:t>钢结构安装质量应按</w:t>
      </w:r>
      <w:r>
        <w:rPr>
          <w:rFonts w:hint="eastAsia" w:ascii="方正仿宋_GBK" w:eastAsia="方正仿宋_GBK"/>
        </w:rPr>
        <w:t>GB 50205</w:t>
      </w:r>
      <w:r>
        <w:rPr>
          <w:rFonts w:hint="eastAsia" w:ascii="方正仿宋_GBK" w:eastAsia="方正仿宋_GBK" w:hAnsiTheme="minorEastAsia"/>
        </w:rPr>
        <w:t>等标准规范执行。</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3</w:t>
      </w:r>
      <w:r>
        <w:rPr>
          <w:rFonts w:hint="eastAsia" w:ascii="方正仿宋_GBK" w:eastAsia="方正仿宋_GBK" w:hAnsiTheme="minorEastAsia"/>
          <w:b/>
        </w:rPr>
        <w:t>）</w:t>
      </w:r>
      <w:r>
        <w:rPr>
          <w:rFonts w:hint="eastAsia" w:ascii="方正仿宋_GBK" w:eastAsia="方正仿宋_GBK" w:hAnsiTheme="minorEastAsia"/>
        </w:rPr>
        <w:t>电气工程的安装质量，应按</w:t>
      </w:r>
      <w:r>
        <w:rPr>
          <w:rFonts w:hint="eastAsia" w:ascii="方正仿宋_GBK" w:eastAsia="方正仿宋_GBK"/>
        </w:rPr>
        <w:t>GB 50169</w:t>
      </w:r>
      <w:r>
        <w:rPr>
          <w:rFonts w:hint="eastAsia" w:ascii="方正仿宋_GBK" w:eastAsia="方正仿宋_GBK" w:hAnsiTheme="minorEastAsia"/>
        </w:rPr>
        <w:t>、</w:t>
      </w:r>
      <w:r>
        <w:rPr>
          <w:rFonts w:hint="eastAsia" w:ascii="方正仿宋_GBK" w:eastAsia="方正仿宋_GBK"/>
        </w:rPr>
        <w:t>GB 50303</w:t>
      </w:r>
      <w:r>
        <w:rPr>
          <w:rFonts w:hint="eastAsia" w:ascii="方正仿宋_GBK" w:eastAsia="方正仿宋_GBK" w:hAnsiTheme="minorEastAsia"/>
        </w:rPr>
        <w:t>等标准规范执行。</w:t>
      </w:r>
    </w:p>
    <w:p>
      <w:pPr>
        <w:pStyle w:val="157"/>
        <w:widowControl w:val="0"/>
        <w:spacing w:line="320" w:lineRule="exact"/>
        <w:jc w:val="both"/>
        <w:rPr>
          <w:rFonts w:ascii="方正仿宋_GBK" w:eastAsia="方正仿宋_GBK"/>
        </w:rPr>
      </w:pPr>
      <w:r>
        <w:rPr>
          <w:rFonts w:hint="eastAsia" w:ascii="方正仿宋_GBK" w:eastAsia="方正仿宋_GBK"/>
          <w:b/>
        </w:rPr>
        <w:t xml:space="preserve">8.2.4 </w:t>
      </w:r>
      <w:r>
        <w:rPr>
          <w:rFonts w:hint="eastAsia" w:ascii="方正仿宋_GBK" w:eastAsia="方正仿宋_GBK"/>
        </w:rPr>
        <w:t xml:space="preserve"> </w:t>
      </w:r>
      <w:r>
        <w:rPr>
          <w:rFonts w:hint="eastAsia" w:ascii="方正仿宋_GBK" w:eastAsia="方正仿宋_GBK" w:hAnsiTheme="minorEastAsia"/>
        </w:rPr>
        <w:t>竣工验收文件包括：</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rPr>
        <w:t>户外广告设施竣工图和设计变更文件。</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2</w:t>
      </w:r>
      <w:r>
        <w:rPr>
          <w:rFonts w:hint="eastAsia" w:ascii="方正仿宋_GBK" w:eastAsia="方正仿宋_GBK" w:hAnsiTheme="minorEastAsia"/>
          <w:b/>
        </w:rPr>
        <w:t>）</w:t>
      </w:r>
      <w:r>
        <w:rPr>
          <w:rFonts w:hint="eastAsia" w:ascii="方正仿宋_GBK" w:eastAsia="方正仿宋_GBK" w:hAnsiTheme="minorEastAsia"/>
        </w:rPr>
        <w:t>原材料、半成品、构配件的质量保证书、合格证书和试验报告。</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3</w:t>
      </w:r>
      <w:r>
        <w:rPr>
          <w:rFonts w:hint="eastAsia" w:ascii="方正仿宋_GBK" w:eastAsia="方正仿宋_GBK" w:hAnsiTheme="minorEastAsia"/>
          <w:b/>
        </w:rPr>
        <w:t>）</w:t>
      </w:r>
      <w:r>
        <w:rPr>
          <w:rFonts w:hint="eastAsia" w:ascii="方正仿宋_GBK" w:eastAsia="方正仿宋_GBK" w:hAnsiTheme="minorEastAsia"/>
        </w:rPr>
        <w:t>钢结构构件制作验收资料。</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4</w:t>
      </w:r>
      <w:r>
        <w:rPr>
          <w:rFonts w:hint="eastAsia" w:ascii="方正仿宋_GBK" w:eastAsia="方正仿宋_GBK" w:hAnsiTheme="minorEastAsia"/>
          <w:b/>
        </w:rPr>
        <w:t>）</w:t>
      </w:r>
      <w:r>
        <w:rPr>
          <w:rFonts w:hint="eastAsia" w:ascii="方正仿宋_GBK" w:eastAsia="方正仿宋_GBK" w:hAnsiTheme="minorEastAsia"/>
        </w:rPr>
        <w:t>基础及钢筋混凝土结构施工验收资料。</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5</w:t>
      </w:r>
      <w:r>
        <w:rPr>
          <w:rFonts w:hint="eastAsia" w:ascii="方正仿宋_GBK" w:eastAsia="方正仿宋_GBK" w:hAnsiTheme="minorEastAsia"/>
          <w:b/>
        </w:rPr>
        <w:t>）</w:t>
      </w:r>
      <w:r>
        <w:rPr>
          <w:rFonts w:hint="eastAsia" w:ascii="方正仿宋_GBK" w:eastAsia="方正仿宋_GBK" w:hAnsiTheme="minorEastAsia"/>
        </w:rPr>
        <w:t>隐蔽工程项目验收资料。</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6</w:t>
      </w:r>
      <w:r>
        <w:rPr>
          <w:rFonts w:hint="eastAsia" w:ascii="方正仿宋_GBK" w:eastAsia="方正仿宋_GBK" w:hAnsiTheme="minorEastAsia"/>
          <w:b/>
        </w:rPr>
        <w:t>）</w:t>
      </w:r>
      <w:r>
        <w:rPr>
          <w:rFonts w:hint="eastAsia" w:ascii="方正仿宋_GBK" w:eastAsia="方正仿宋_GBK" w:hAnsiTheme="minorEastAsia"/>
        </w:rPr>
        <w:t>安装验收和质量评定资料。</w:t>
      </w:r>
    </w:p>
    <w:p>
      <w:pPr>
        <w:pStyle w:val="157"/>
        <w:widowControl w:val="0"/>
        <w:spacing w:line="320" w:lineRule="exact"/>
        <w:jc w:val="both"/>
        <w:rPr>
          <w:rFonts w:ascii="方正仿宋_GBK" w:eastAsia="方正仿宋_GBK"/>
        </w:rPr>
      </w:pPr>
      <w:r>
        <w:rPr>
          <w:rFonts w:hint="eastAsia" w:ascii="方正仿宋_GBK" w:eastAsia="方正仿宋_GBK"/>
          <w:b/>
        </w:rPr>
        <w:t xml:space="preserve">8.2.5 </w:t>
      </w:r>
      <w:r>
        <w:rPr>
          <w:rFonts w:hint="eastAsia" w:ascii="方正仿宋_GBK" w:eastAsia="方正仿宋_GBK"/>
        </w:rPr>
        <w:t xml:space="preserve"> </w:t>
      </w:r>
      <w:r>
        <w:rPr>
          <w:rFonts w:hint="eastAsia" w:ascii="方正仿宋_GBK" w:eastAsia="方正仿宋_GBK" w:hAnsiTheme="minorEastAsia"/>
        </w:rPr>
        <w:t>验收资料及提交的文件合并为户外广告设施工程档案，由设置者和所属区城市管理局保存。</w:t>
      </w:r>
    </w:p>
    <w:p>
      <w:pPr>
        <w:pStyle w:val="157"/>
        <w:widowControl w:val="0"/>
        <w:numPr>
          <w:ilvl w:val="2"/>
          <w:numId w:val="0"/>
        </w:numPr>
        <w:spacing w:line="320" w:lineRule="exact"/>
        <w:ind w:firstLine="420" w:firstLineChars="200"/>
        <w:jc w:val="both"/>
        <w:rPr>
          <w:rFonts w:ascii="Times New Roman" w:eastAsiaTheme="minorEastAsia"/>
        </w:rPr>
      </w:pPr>
    </w:p>
    <w:p>
      <w:pPr>
        <w:widowControl/>
        <w:jc w:val="left"/>
        <w:rPr>
          <w:rFonts w:eastAsiaTheme="minorEastAsia"/>
          <w:szCs w:val="21"/>
        </w:rPr>
      </w:pPr>
      <w:r>
        <w:rPr>
          <w:rFonts w:eastAsiaTheme="minorEastAsia"/>
          <w:szCs w:val="21"/>
        </w:rPr>
        <w:br w:type="page"/>
      </w: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Cs w:val="30"/>
        </w:rPr>
      </w:pPr>
      <w:bookmarkStart w:id="52" w:name="_Toc20663703"/>
      <w:bookmarkStart w:id="53" w:name="_Toc17388211"/>
      <w:r>
        <w:rPr>
          <w:rFonts w:hint="eastAsia" w:ascii="方正黑体_GBK" w:hAnsi="Times New Roman" w:eastAsia="方正黑体_GBK"/>
          <w:b w:val="0"/>
          <w:szCs w:val="30"/>
        </w:rPr>
        <w:t>9  广告安全</w:t>
      </w:r>
      <w:bookmarkEnd w:id="52"/>
      <w:bookmarkEnd w:id="53"/>
    </w:p>
    <w:p>
      <w:pPr>
        <w:pStyle w:val="159"/>
        <w:widowControl w:val="0"/>
        <w:spacing w:line="320" w:lineRule="exact"/>
        <w:ind w:firstLine="420" w:firstLineChars="200"/>
        <w:jc w:val="both"/>
        <w:rPr>
          <w:rFonts w:ascii="Times New Roman" w:eastAsiaTheme="minorEastAsia"/>
        </w:rPr>
      </w:pPr>
    </w:p>
    <w:p>
      <w:pPr>
        <w:pStyle w:val="159"/>
        <w:widowControl w:val="0"/>
        <w:spacing w:line="320" w:lineRule="exact"/>
        <w:jc w:val="both"/>
        <w:rPr>
          <w:rFonts w:ascii="方正仿宋_GBK" w:eastAsia="方正仿宋_GBK"/>
        </w:rPr>
      </w:pPr>
      <w:r>
        <w:rPr>
          <w:rFonts w:hint="eastAsia" w:ascii="方正仿宋_GBK" w:eastAsia="方正仿宋_GBK"/>
          <w:b/>
        </w:rPr>
        <w:t xml:space="preserve">9.0.1 </w:t>
      </w:r>
      <w:r>
        <w:rPr>
          <w:rFonts w:hint="eastAsia" w:ascii="方正仿宋_GBK" w:eastAsia="方正仿宋_GBK"/>
        </w:rPr>
        <w:t xml:space="preserve"> </w:t>
      </w:r>
      <w:r>
        <w:rPr>
          <w:rFonts w:hint="eastAsia" w:ascii="方正仿宋_GBK" w:eastAsia="方正仿宋_GBK" w:hAnsiTheme="minorEastAsia"/>
        </w:rPr>
        <w:t>户外广告达到设计使用年限的，设置人应当予以拆除，拆除构件不得重复用于广告设施的使用。</w:t>
      </w:r>
    </w:p>
    <w:p>
      <w:pPr>
        <w:pStyle w:val="159"/>
        <w:widowControl w:val="0"/>
        <w:spacing w:line="320" w:lineRule="exact"/>
        <w:jc w:val="both"/>
        <w:rPr>
          <w:rFonts w:ascii="方正仿宋_GBK" w:eastAsia="方正仿宋_GBK"/>
        </w:rPr>
      </w:pPr>
      <w:r>
        <w:rPr>
          <w:rFonts w:hint="eastAsia" w:ascii="方正仿宋_GBK" w:eastAsia="方正仿宋_GBK"/>
          <w:b/>
        </w:rPr>
        <w:t xml:space="preserve">9.0.2 </w:t>
      </w:r>
      <w:r>
        <w:rPr>
          <w:rFonts w:hint="eastAsia" w:ascii="方正仿宋_GBK" w:eastAsia="方正仿宋_GBK"/>
        </w:rPr>
        <w:t xml:space="preserve"> </w:t>
      </w:r>
      <w:r>
        <w:rPr>
          <w:rFonts w:hint="eastAsia" w:ascii="方正仿宋_GBK" w:eastAsia="方正仿宋_GBK" w:hAnsiTheme="minorEastAsia"/>
        </w:rPr>
        <w:t>户外广告设施在建设、整修、更新或者拆除期间，应当采取安全保障措施，确保施工安全和人员安全，并在施工现场的显著位置设置警示标志。</w:t>
      </w:r>
    </w:p>
    <w:p>
      <w:pPr>
        <w:widowControl/>
        <w:jc w:val="left"/>
        <w:rPr>
          <w:rFonts w:ascii="方正仿宋_GBK" w:eastAsia="方正仿宋_GBK"/>
          <w:kern w:val="0"/>
          <w:szCs w:val="21"/>
        </w:rPr>
      </w:pPr>
      <w:r>
        <w:rPr>
          <w:rFonts w:hint="eastAsia" w:ascii="方正仿宋_GBK" w:eastAsia="方正仿宋_GBK"/>
        </w:rPr>
        <w:br w:type="page"/>
      </w: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 w:val="30"/>
          <w:szCs w:val="30"/>
        </w:rPr>
      </w:pPr>
      <w:bookmarkStart w:id="54" w:name="_Toc17388212"/>
      <w:bookmarkStart w:id="55" w:name="_Toc20663704"/>
      <w:r>
        <w:rPr>
          <w:rFonts w:hint="eastAsia" w:ascii="方正黑体_GBK" w:hAnsi="Times New Roman" w:eastAsia="方正黑体_GBK"/>
          <w:b w:val="0"/>
          <w:sz w:val="30"/>
          <w:szCs w:val="30"/>
        </w:rPr>
        <w:t>10  广告维护、安全检测</w:t>
      </w:r>
      <w:bookmarkEnd w:id="54"/>
      <w:r>
        <w:rPr>
          <w:rFonts w:hint="eastAsia" w:ascii="方正黑体_GBK" w:hAnsi="Times New Roman" w:eastAsia="方正黑体_GBK"/>
          <w:b w:val="0"/>
          <w:sz w:val="30"/>
          <w:szCs w:val="30"/>
        </w:rPr>
        <w:t>和拆除</w:t>
      </w:r>
      <w:bookmarkEnd w:id="55"/>
    </w:p>
    <w:p>
      <w:pPr>
        <w:pStyle w:val="107"/>
        <w:widowControl w:val="0"/>
        <w:numPr>
          <w:ilvl w:val="0"/>
          <w:numId w:val="0"/>
        </w:numPr>
        <w:spacing w:beforeLines="0" w:afterLines="0" w:line="240" w:lineRule="exact"/>
        <w:ind w:firstLine="420" w:firstLineChars="200"/>
        <w:rPr>
          <w:rFonts w:ascii="Times New Roman" w:eastAsiaTheme="minorEastAsia"/>
          <w:szCs w:val="21"/>
        </w:rPr>
      </w:pPr>
    </w:p>
    <w:p>
      <w:pPr>
        <w:pStyle w:val="4"/>
        <w:keepNext w:val="0"/>
        <w:keepLines w:val="0"/>
        <w:adjustRightInd w:val="0"/>
        <w:snapToGrid w:val="0"/>
        <w:spacing w:before="120" w:beforeLines="50" w:after="120" w:afterLines="50" w:line="24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10.1  </w:t>
      </w:r>
      <w:r>
        <w:rPr>
          <w:rFonts w:hint="eastAsia" w:ascii="方正楷体_GBK" w:hAnsi="Times New Roman" w:eastAsia="方正楷体_GBK"/>
          <w:b w:val="0"/>
          <w:sz w:val="21"/>
          <w:szCs w:val="21"/>
        </w:rPr>
        <w:t>维护</w:t>
      </w:r>
    </w:p>
    <w:p>
      <w:pPr>
        <w:pStyle w:val="157"/>
        <w:widowControl w:val="0"/>
        <w:spacing w:line="320" w:lineRule="exact"/>
        <w:jc w:val="both"/>
        <w:rPr>
          <w:rFonts w:ascii="方正仿宋_GBK" w:eastAsia="方正仿宋_GBK"/>
        </w:rPr>
      </w:pPr>
      <w:r>
        <w:rPr>
          <w:rFonts w:hint="eastAsia" w:ascii="方正仿宋_GBK" w:eastAsia="方正仿宋_GBK"/>
          <w:b/>
        </w:rPr>
        <w:t>10.1.1</w:t>
      </w:r>
      <w:r>
        <w:rPr>
          <w:rFonts w:hint="eastAsia" w:ascii="方正仿宋_GBK" w:eastAsia="方正仿宋_GBK"/>
        </w:rPr>
        <w:t xml:space="preserve">  </w:t>
      </w:r>
      <w:r>
        <w:rPr>
          <w:rFonts w:hint="eastAsia" w:ascii="方正仿宋_GBK" w:eastAsia="方正仿宋_GBK" w:hAnsiTheme="minorEastAsia"/>
        </w:rPr>
        <w:t>由设置人负责维护、管理，确保其牢固、安全，包括：</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rPr>
        <w:t>每年应至少进行一次除锈防腐维护，发现有锈蚀、油漆脱落、龟裂和风化等现象应进行清理、除锈、修复和重新涂装。</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2</w:t>
      </w:r>
      <w:r>
        <w:rPr>
          <w:rFonts w:hint="eastAsia" w:ascii="方正仿宋_GBK" w:eastAsia="方正仿宋_GBK" w:hAnsiTheme="minorEastAsia"/>
          <w:b/>
        </w:rPr>
        <w:t>）</w:t>
      </w:r>
      <w:r>
        <w:rPr>
          <w:rFonts w:hint="eastAsia" w:ascii="方正仿宋_GBK" w:eastAsia="方正仿宋_GBK" w:hAnsiTheme="minorEastAsia"/>
        </w:rPr>
        <w:t>每年应定期</w:t>
      </w:r>
      <w:r>
        <w:rPr>
          <w:rFonts w:hint="eastAsia" w:ascii="方正仿宋_GBK" w:eastAsia="方正仿宋_GBK"/>
        </w:rPr>
        <w:t>（</w:t>
      </w:r>
      <w:r>
        <w:rPr>
          <w:rFonts w:hint="eastAsia" w:ascii="方正仿宋_GBK" w:eastAsia="方正仿宋_GBK" w:hAnsiTheme="minorEastAsia"/>
        </w:rPr>
        <w:t>不少于两次</w:t>
      </w:r>
      <w:r>
        <w:rPr>
          <w:rFonts w:hint="eastAsia" w:ascii="方正仿宋_GBK" w:eastAsia="方正仿宋_GBK"/>
        </w:rPr>
        <w:t>）</w:t>
      </w:r>
      <w:r>
        <w:rPr>
          <w:rFonts w:hint="eastAsia" w:ascii="方正仿宋_GBK" w:eastAsia="方正仿宋_GBK" w:hAnsiTheme="minorEastAsia"/>
        </w:rPr>
        <w:t>检查构件连接点</w:t>
      </w:r>
      <w:r>
        <w:rPr>
          <w:rFonts w:hint="eastAsia" w:ascii="方正仿宋_GBK" w:eastAsia="方正仿宋_GBK"/>
        </w:rPr>
        <w:t>（</w:t>
      </w:r>
      <w:r>
        <w:rPr>
          <w:rFonts w:hint="eastAsia" w:ascii="方正仿宋_GBK" w:eastAsia="方正仿宋_GBK" w:hAnsiTheme="minorEastAsia"/>
        </w:rPr>
        <w:t>焊缝、螺栓和锚栓等</w:t>
      </w:r>
      <w:r>
        <w:rPr>
          <w:rFonts w:hint="eastAsia" w:ascii="方正仿宋_GBK" w:eastAsia="方正仿宋_GBK"/>
        </w:rPr>
        <w:t>）</w:t>
      </w:r>
      <w:r>
        <w:rPr>
          <w:rFonts w:hint="eastAsia" w:ascii="方正仿宋_GBK" w:eastAsia="方正仿宋_GBK" w:hAnsiTheme="minorEastAsia"/>
        </w:rPr>
        <w:t>，尤其是雷雨等强对流天气，发现节点松动或焊缝有裂痕，应及时加固、修复和重新焊接。</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3</w:t>
      </w:r>
      <w:r>
        <w:rPr>
          <w:rFonts w:hint="eastAsia" w:ascii="方正仿宋_GBK" w:eastAsia="方正仿宋_GBK" w:hAnsiTheme="minorEastAsia"/>
          <w:b/>
        </w:rPr>
        <w:t>）</w:t>
      </w:r>
      <w:r>
        <w:rPr>
          <w:rFonts w:hint="eastAsia" w:ascii="方正仿宋_GBK" w:eastAsia="方正仿宋_GBK" w:hAnsiTheme="minorEastAsia"/>
        </w:rPr>
        <w:t>每年应定期</w:t>
      </w:r>
      <w:r>
        <w:rPr>
          <w:rFonts w:hint="eastAsia" w:ascii="方正仿宋_GBK" w:eastAsia="方正仿宋_GBK"/>
        </w:rPr>
        <w:t>（</w:t>
      </w:r>
      <w:r>
        <w:rPr>
          <w:rFonts w:hint="eastAsia" w:ascii="方正仿宋_GBK" w:eastAsia="方正仿宋_GBK" w:hAnsiTheme="minorEastAsia"/>
        </w:rPr>
        <w:t>不少于两次</w:t>
      </w:r>
      <w:r>
        <w:rPr>
          <w:rFonts w:hint="eastAsia" w:ascii="方正仿宋_GBK" w:eastAsia="方正仿宋_GBK"/>
        </w:rPr>
        <w:t>）</w:t>
      </w:r>
      <w:r>
        <w:rPr>
          <w:rFonts w:hint="eastAsia" w:ascii="方正仿宋_GBK" w:eastAsia="方正仿宋_GBK" w:hAnsiTheme="minorEastAsia"/>
        </w:rPr>
        <w:t>对照明、供电、电器控制设备进行维护。一旦出现故障、损坏等情况，应在</w:t>
      </w:r>
      <w:r>
        <w:rPr>
          <w:rFonts w:hint="eastAsia" w:ascii="方正仿宋_GBK" w:eastAsia="方正仿宋_GBK"/>
        </w:rPr>
        <w:t>24</w:t>
      </w:r>
      <w:r>
        <w:rPr>
          <w:rFonts w:hint="eastAsia" w:ascii="方正仿宋_GBK" w:eastAsia="方正仿宋_GBK" w:hAnsiTheme="minorEastAsia"/>
        </w:rPr>
        <w:t>小时内修复。</w:t>
      </w:r>
    </w:p>
    <w:p>
      <w:pPr>
        <w:pStyle w:val="157"/>
        <w:widowControl w:val="0"/>
        <w:spacing w:line="320" w:lineRule="exact"/>
        <w:jc w:val="both"/>
        <w:rPr>
          <w:rFonts w:ascii="方正仿宋_GBK" w:eastAsia="方正仿宋_GBK"/>
        </w:rPr>
      </w:pPr>
      <w:r>
        <w:rPr>
          <w:rFonts w:hint="eastAsia" w:ascii="方正仿宋_GBK" w:eastAsia="方正仿宋_GBK"/>
          <w:b/>
        </w:rPr>
        <w:t xml:space="preserve">10.1.2 </w:t>
      </w:r>
      <w:r>
        <w:rPr>
          <w:rFonts w:hint="eastAsia" w:ascii="方正仿宋_GBK" w:eastAsia="方正仿宋_GBK"/>
        </w:rPr>
        <w:t xml:space="preserve"> </w:t>
      </w:r>
      <w:r>
        <w:rPr>
          <w:rFonts w:hint="eastAsia" w:ascii="方正仿宋_GBK" w:eastAsia="方正仿宋_GBK" w:hAnsiTheme="minorEastAsia"/>
        </w:rPr>
        <w:t>广告及其设施应无残缺破损、污迹和严重褪色；电子显示屏</w:t>
      </w:r>
      <w:r>
        <w:rPr>
          <w:rFonts w:hint="eastAsia" w:ascii="方正仿宋_GBK" w:eastAsia="方正仿宋_GBK"/>
        </w:rPr>
        <w:t>（</w:t>
      </w:r>
      <w:r>
        <w:rPr>
          <w:rFonts w:hint="eastAsia" w:ascii="方正仿宋_GBK" w:eastAsia="方正仿宋_GBK" w:hAnsiTheme="minorEastAsia"/>
        </w:rPr>
        <w:t>牌</w:t>
      </w:r>
      <w:r>
        <w:rPr>
          <w:rFonts w:hint="eastAsia" w:ascii="方正仿宋_GBK" w:eastAsia="方正仿宋_GBK"/>
        </w:rPr>
        <w:t>）</w:t>
      </w:r>
      <w:r>
        <w:rPr>
          <w:rFonts w:hint="eastAsia" w:ascii="方正仿宋_GBK" w:eastAsia="方正仿宋_GBK" w:hAnsiTheme="minorEastAsia"/>
        </w:rPr>
        <w:t>、灯箱等形式的广告，应保持显示完好。如有残缺破损、污迹和严重褪色，或显示不完整，应于一周内维修或更换。</w:t>
      </w:r>
    </w:p>
    <w:p>
      <w:pPr>
        <w:pStyle w:val="157"/>
        <w:widowControl w:val="0"/>
        <w:spacing w:line="320" w:lineRule="exact"/>
        <w:jc w:val="both"/>
        <w:rPr>
          <w:rFonts w:ascii="方正仿宋_GBK" w:eastAsia="方正仿宋_GBK"/>
        </w:rPr>
      </w:pPr>
      <w:r>
        <w:rPr>
          <w:rFonts w:hint="eastAsia" w:ascii="方正仿宋_GBK" w:eastAsia="方正仿宋_GBK"/>
          <w:b/>
        </w:rPr>
        <w:t xml:space="preserve">10.1.3 </w:t>
      </w:r>
      <w:r>
        <w:rPr>
          <w:rFonts w:hint="eastAsia" w:ascii="方正仿宋_GBK" w:eastAsia="方正仿宋_GBK"/>
        </w:rPr>
        <w:t xml:space="preserve"> 户外广告应开展日常定期清洁：</w:t>
      </w:r>
    </w:p>
    <w:p>
      <w:pPr>
        <w:pStyle w:val="157"/>
        <w:widowControl w:val="0"/>
        <w:numPr>
          <w:ilvl w:val="0"/>
          <w:numId w:val="3"/>
        </w:numPr>
        <w:spacing w:line="320" w:lineRule="exact"/>
        <w:ind w:firstLine="420" w:firstLineChars="200"/>
        <w:jc w:val="both"/>
        <w:rPr>
          <w:rFonts w:ascii="方正仿宋_GBK" w:eastAsia="方正仿宋_GBK" w:hAnsiTheme="minorEastAsia"/>
        </w:rPr>
      </w:pPr>
      <w:r>
        <w:rPr>
          <w:rFonts w:hint="eastAsia" w:ascii="方正仿宋_GBK" w:eastAsia="方正仿宋_GBK" w:hAnsiTheme="minorEastAsia"/>
        </w:rPr>
        <w:t>设置在临街空间的落地式灯箱广告，站台灯箱广告，每周应对外表面清洗一次。</w:t>
      </w:r>
    </w:p>
    <w:p>
      <w:pPr>
        <w:pStyle w:val="157"/>
        <w:widowControl w:val="0"/>
        <w:numPr>
          <w:ilvl w:val="0"/>
          <w:numId w:val="3"/>
        </w:numPr>
        <w:spacing w:line="320" w:lineRule="exact"/>
        <w:ind w:firstLine="420" w:firstLineChars="200"/>
        <w:jc w:val="both"/>
        <w:rPr>
          <w:rFonts w:ascii="方正仿宋_GBK" w:eastAsia="方正仿宋_GBK"/>
        </w:rPr>
      </w:pPr>
      <w:r>
        <w:rPr>
          <w:rFonts w:hint="eastAsia" w:ascii="方正仿宋_GBK" w:eastAsia="方正仿宋_GBK" w:hAnsiTheme="minorEastAsia"/>
        </w:rPr>
        <w:t>附着在建</w:t>
      </w:r>
      <w:r>
        <w:rPr>
          <w:rFonts w:hint="eastAsia" w:ascii="方正仿宋_GBK" w:eastAsia="方正仿宋_GBK"/>
        </w:rPr>
        <w:t>（</w:t>
      </w:r>
      <w:r>
        <w:rPr>
          <w:rFonts w:hint="eastAsia" w:ascii="方正仿宋_GBK" w:eastAsia="方正仿宋_GBK" w:hAnsiTheme="minorEastAsia"/>
        </w:rPr>
        <w:t>构</w:t>
      </w:r>
      <w:r>
        <w:rPr>
          <w:rFonts w:hint="eastAsia" w:ascii="方正仿宋_GBK" w:eastAsia="方正仿宋_GBK"/>
        </w:rPr>
        <w:t>）</w:t>
      </w:r>
      <w:r>
        <w:rPr>
          <w:rFonts w:hint="eastAsia" w:ascii="方正仿宋_GBK" w:eastAsia="方正仿宋_GBK" w:hAnsiTheme="minorEastAsia"/>
        </w:rPr>
        <w:t>筑物外墙的户外广告应每三个月对外表面清洗一次。</w:t>
      </w:r>
    </w:p>
    <w:p>
      <w:pPr>
        <w:pStyle w:val="157"/>
        <w:widowControl w:val="0"/>
        <w:numPr>
          <w:ilvl w:val="0"/>
          <w:numId w:val="3"/>
        </w:numPr>
        <w:spacing w:line="320" w:lineRule="exact"/>
        <w:ind w:firstLine="420" w:firstLineChars="200"/>
        <w:jc w:val="both"/>
        <w:rPr>
          <w:rFonts w:ascii="方正仿宋_GBK" w:eastAsia="方正仿宋_GBK"/>
        </w:rPr>
      </w:pPr>
      <w:r>
        <w:rPr>
          <w:rFonts w:hint="eastAsia" w:ascii="方正仿宋_GBK" w:eastAsia="方正仿宋_GBK" w:hAnsiTheme="minorEastAsia"/>
        </w:rPr>
        <w:t>其它户外广告也应结合日常维护工作开展保洁工作。</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10.2  </w:t>
      </w:r>
      <w:r>
        <w:rPr>
          <w:rFonts w:hint="eastAsia" w:ascii="方正楷体_GBK" w:hAnsi="Times New Roman" w:eastAsia="方正楷体_GBK"/>
          <w:b w:val="0"/>
          <w:sz w:val="21"/>
          <w:szCs w:val="21"/>
        </w:rPr>
        <w:t>安全检测</w:t>
      </w:r>
    </w:p>
    <w:p>
      <w:pPr>
        <w:pStyle w:val="157"/>
        <w:widowControl w:val="0"/>
        <w:spacing w:line="320" w:lineRule="exact"/>
        <w:jc w:val="both"/>
        <w:rPr>
          <w:rFonts w:ascii="方正仿宋_GBK" w:eastAsia="方正仿宋_GBK"/>
        </w:rPr>
      </w:pPr>
      <w:r>
        <w:rPr>
          <w:rFonts w:hint="eastAsia" w:ascii="方正仿宋_GBK" w:eastAsia="方正仿宋_GBK"/>
          <w:b/>
        </w:rPr>
        <w:t>10.2.1</w:t>
      </w:r>
      <w:r>
        <w:rPr>
          <w:rFonts w:hint="eastAsia" w:ascii="方正仿宋_GBK" w:eastAsia="方正仿宋_GBK"/>
        </w:rPr>
        <w:t xml:space="preserve">  </w:t>
      </w:r>
      <w:r>
        <w:rPr>
          <w:rFonts w:hint="eastAsia" w:ascii="方正仿宋_GBK" w:eastAsia="方正仿宋_GBK" w:hAnsiTheme="minorEastAsia"/>
        </w:rPr>
        <w:t>广告设置者每年应委托有资质的检测单位至少进行</w:t>
      </w:r>
      <w:r>
        <w:rPr>
          <w:rFonts w:hint="eastAsia" w:ascii="方正仿宋_GBK" w:eastAsia="方正仿宋_GBK"/>
        </w:rPr>
        <w:t>1</w:t>
      </w:r>
      <w:r>
        <w:rPr>
          <w:rFonts w:hint="eastAsia" w:ascii="方正仿宋_GBK" w:eastAsia="方正仿宋_GBK" w:hAnsiTheme="minorEastAsia"/>
        </w:rPr>
        <w:t>次安全检测并出具检测报告，检测报告除了检测项目外，还需结合检测内容提出整修或拆除意见。</w:t>
      </w:r>
    </w:p>
    <w:p>
      <w:pPr>
        <w:pStyle w:val="157"/>
        <w:widowControl w:val="0"/>
        <w:spacing w:line="320" w:lineRule="exact"/>
        <w:jc w:val="both"/>
        <w:rPr>
          <w:rFonts w:ascii="方正仿宋_GBK" w:eastAsia="方正仿宋_GBK"/>
        </w:rPr>
      </w:pPr>
      <w:r>
        <w:rPr>
          <w:rFonts w:hint="eastAsia" w:ascii="方正仿宋_GBK" w:eastAsia="方正仿宋_GBK"/>
          <w:b/>
        </w:rPr>
        <w:t>10.2.2</w:t>
      </w:r>
      <w:r>
        <w:rPr>
          <w:rFonts w:hint="eastAsia" w:ascii="方正仿宋_GBK" w:eastAsia="方正仿宋_GBK"/>
        </w:rPr>
        <w:t xml:space="preserve">  </w:t>
      </w:r>
      <w:r>
        <w:rPr>
          <w:rFonts w:hint="eastAsia" w:ascii="方正仿宋_GBK" w:eastAsia="方正仿宋_GBK" w:hAnsiTheme="minorEastAsia"/>
        </w:rPr>
        <w:t>广告设施的安全检测项目：</w:t>
      </w:r>
    </w:p>
    <w:p>
      <w:pPr>
        <w:pStyle w:val="157"/>
        <w:widowControl w:val="0"/>
        <w:spacing w:line="320" w:lineRule="exact"/>
        <w:ind w:firstLine="421" w:firstLineChars="200"/>
        <w:jc w:val="both"/>
        <w:rPr>
          <w:rFonts w:ascii="方正仿宋_GBK" w:eastAsia="方正仿宋_GBK"/>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rPr>
        <w:t>基础或附着建</w:t>
      </w:r>
      <w:r>
        <w:rPr>
          <w:rFonts w:hint="eastAsia" w:ascii="方正仿宋_GBK" w:eastAsia="方正仿宋_GBK"/>
        </w:rPr>
        <w:t>（</w:t>
      </w:r>
      <w:r>
        <w:rPr>
          <w:rFonts w:hint="eastAsia" w:ascii="方正仿宋_GBK" w:eastAsia="方正仿宋_GBK" w:hAnsiTheme="minorEastAsia"/>
        </w:rPr>
        <w:t>构</w:t>
      </w:r>
      <w:r>
        <w:rPr>
          <w:rFonts w:hint="eastAsia" w:ascii="方正仿宋_GBK" w:eastAsia="方正仿宋_GBK"/>
        </w:rPr>
        <w:t>）</w:t>
      </w:r>
      <w:r>
        <w:rPr>
          <w:rFonts w:hint="eastAsia" w:ascii="方正仿宋_GBK" w:eastAsia="方正仿宋_GBK" w:hAnsiTheme="minorEastAsia"/>
        </w:rPr>
        <w:t>筑物有无拉裂、倾斜、破损等情况，钢筋及地脚螺栓螺母无外露、松动、缺失、锈蚀。</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2</w:t>
      </w:r>
      <w:r>
        <w:rPr>
          <w:rFonts w:hint="eastAsia" w:ascii="方正仿宋_GBK" w:eastAsia="方正仿宋_GBK" w:hAnsiTheme="minorEastAsia"/>
          <w:b/>
          <w:szCs w:val="21"/>
        </w:rPr>
        <w:t>）</w:t>
      </w:r>
      <w:r>
        <w:rPr>
          <w:rFonts w:hint="eastAsia" w:ascii="方正仿宋_GBK" w:eastAsia="方正仿宋_GBK" w:hAnsiTheme="minorEastAsia"/>
          <w:szCs w:val="21"/>
        </w:rPr>
        <w:t>钢架的锈蚀情况、支撑受力点的牢固性。</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3</w:t>
      </w:r>
      <w:r>
        <w:rPr>
          <w:rFonts w:hint="eastAsia" w:ascii="方正仿宋_GBK" w:eastAsia="方正仿宋_GBK" w:hAnsiTheme="minorEastAsia"/>
          <w:b/>
          <w:szCs w:val="21"/>
        </w:rPr>
        <w:t>）</w:t>
      </w:r>
      <w:r>
        <w:rPr>
          <w:rFonts w:hint="eastAsia" w:ascii="方正仿宋_GBK" w:eastAsia="方正仿宋_GBK" w:hAnsiTheme="minorEastAsia"/>
          <w:szCs w:val="21"/>
        </w:rPr>
        <w:t>版面与钢架连接是否牢固，灯架灯具连接是否牢固，灯具等电器设施的防水结构是否正常。</w:t>
      </w:r>
    </w:p>
    <w:p>
      <w:pPr>
        <w:pStyle w:val="135"/>
        <w:widowControl w:val="0"/>
        <w:spacing w:line="320" w:lineRule="exact"/>
        <w:ind w:left="0" w:leftChars="0" w:firstLine="421" w:firstLineChars="200"/>
        <w:rPr>
          <w:rFonts w:ascii="方正仿宋_GBK" w:eastAsia="方正仿宋_GBK"/>
          <w:szCs w:val="21"/>
        </w:rPr>
      </w:pPr>
      <w:r>
        <w:rPr>
          <w:rFonts w:hint="eastAsia" w:ascii="方正仿宋_GBK" w:eastAsia="方正仿宋_GBK"/>
          <w:b/>
          <w:szCs w:val="21"/>
        </w:rPr>
        <w:t>4</w:t>
      </w:r>
      <w:r>
        <w:rPr>
          <w:rFonts w:hint="eastAsia" w:ascii="方正仿宋_GBK" w:eastAsia="方正仿宋_GBK" w:hAnsiTheme="minorEastAsia"/>
          <w:b/>
          <w:szCs w:val="21"/>
        </w:rPr>
        <w:t>）</w:t>
      </w:r>
      <w:r>
        <w:rPr>
          <w:rFonts w:hint="eastAsia" w:ascii="方正仿宋_GBK" w:eastAsia="方正仿宋_GBK" w:hAnsiTheme="minorEastAsia"/>
          <w:szCs w:val="21"/>
        </w:rPr>
        <w:t>灯具、电源和电控箱等电器设施是否安全，避雷设施的连接是否正常。</w:t>
      </w:r>
    </w:p>
    <w:p>
      <w:pPr>
        <w:pStyle w:val="157"/>
        <w:widowControl w:val="0"/>
        <w:spacing w:line="320" w:lineRule="exact"/>
        <w:jc w:val="both"/>
        <w:rPr>
          <w:rFonts w:ascii="方正仿宋_GBK" w:eastAsia="方正仿宋_GBK"/>
        </w:rPr>
      </w:pPr>
      <w:r>
        <w:rPr>
          <w:rFonts w:hint="eastAsia" w:ascii="方正仿宋_GBK" w:eastAsia="方正仿宋_GBK"/>
          <w:b/>
        </w:rPr>
        <w:t xml:space="preserve">10.2.3 </w:t>
      </w:r>
      <w:r>
        <w:rPr>
          <w:rFonts w:hint="eastAsia" w:ascii="方正仿宋_GBK" w:eastAsia="方正仿宋_GBK"/>
        </w:rPr>
        <w:t xml:space="preserve"> </w:t>
      </w:r>
      <w:r>
        <w:rPr>
          <w:rFonts w:hint="eastAsia" w:ascii="方正仿宋_GBK" w:eastAsia="方正仿宋_GBK" w:hAnsiTheme="minorEastAsia"/>
        </w:rPr>
        <w:t>广告设置者根据检测结果，立即进行加固维护或拆除，保证在设置年限内的安全使用。</w:t>
      </w:r>
    </w:p>
    <w:p>
      <w:pPr>
        <w:pStyle w:val="4"/>
        <w:keepNext w:val="0"/>
        <w:keepLines w:val="0"/>
        <w:adjustRightInd w:val="0"/>
        <w:snapToGrid w:val="0"/>
        <w:spacing w:before="120" w:beforeLines="50" w:after="120" w:afterLines="50" w:line="320" w:lineRule="exact"/>
        <w:jc w:val="center"/>
        <w:rPr>
          <w:rFonts w:ascii="方正楷体_GBK" w:hAnsi="Times New Roman" w:eastAsia="方正楷体_GBK"/>
          <w:b w:val="0"/>
          <w:sz w:val="21"/>
          <w:szCs w:val="21"/>
        </w:rPr>
      </w:pPr>
      <w:r>
        <w:rPr>
          <w:rFonts w:hint="eastAsia" w:ascii="方正楷体_GBK" w:hAnsi="Times New Roman" w:eastAsia="方正楷体_GBK"/>
          <w:sz w:val="21"/>
          <w:szCs w:val="21"/>
        </w:rPr>
        <w:t xml:space="preserve">10.3  </w:t>
      </w:r>
      <w:r>
        <w:rPr>
          <w:rFonts w:hint="eastAsia" w:ascii="方正楷体_GBK" w:hAnsi="Times New Roman" w:eastAsia="方正楷体_GBK"/>
          <w:b w:val="0"/>
          <w:sz w:val="21"/>
          <w:szCs w:val="21"/>
        </w:rPr>
        <w:t>拆除</w:t>
      </w:r>
    </w:p>
    <w:p>
      <w:pPr>
        <w:pStyle w:val="157"/>
        <w:widowControl w:val="0"/>
        <w:spacing w:line="320" w:lineRule="exact"/>
        <w:jc w:val="both"/>
        <w:rPr>
          <w:rFonts w:ascii="方正仿宋_GBK" w:eastAsia="方正仿宋_GBK"/>
        </w:rPr>
      </w:pPr>
      <w:r>
        <w:rPr>
          <w:rFonts w:hint="eastAsia" w:ascii="方正仿宋_GBK" w:eastAsia="方正仿宋_GBK"/>
          <w:b/>
        </w:rPr>
        <w:t>10.3.1</w:t>
      </w:r>
      <w:r>
        <w:rPr>
          <w:rFonts w:hint="eastAsia" w:ascii="方正仿宋_GBK" w:eastAsia="方正仿宋_GBK"/>
        </w:rPr>
        <w:t xml:space="preserve">  </w:t>
      </w:r>
      <w:r>
        <w:rPr>
          <w:rFonts w:hint="eastAsia" w:ascii="方正仿宋_GBK" w:eastAsia="方正仿宋_GBK" w:hAnsiTheme="minorEastAsia"/>
        </w:rPr>
        <w:t>户外广告的实际使用年限不得超过设计使用年限，达到设计使用年限的广告由设置者予以拆除，并恢复原场地功能，拆除构件不得用于户外广告设施，施工期间确保人员和设备安全。</w:t>
      </w:r>
    </w:p>
    <w:p>
      <w:pPr>
        <w:pStyle w:val="157"/>
        <w:widowControl w:val="0"/>
        <w:spacing w:line="320" w:lineRule="exact"/>
        <w:jc w:val="both"/>
        <w:rPr>
          <w:rFonts w:ascii="方正仿宋_GBK" w:eastAsia="方正仿宋_GBK"/>
        </w:rPr>
      </w:pPr>
      <w:r>
        <w:rPr>
          <w:rFonts w:hint="eastAsia" w:ascii="方正仿宋_GBK" w:eastAsia="方正仿宋_GBK"/>
          <w:b/>
        </w:rPr>
        <w:t>10.3.2</w:t>
      </w:r>
      <w:r>
        <w:rPr>
          <w:rFonts w:hint="eastAsia" w:ascii="方正仿宋_GBK" w:eastAsia="方正仿宋_GBK"/>
        </w:rPr>
        <w:t xml:space="preserve">  </w:t>
      </w:r>
      <w:r>
        <w:rPr>
          <w:rFonts w:hint="eastAsia" w:ascii="方正仿宋_GBK" w:eastAsia="方正仿宋_GBK" w:hAnsiTheme="minorEastAsia"/>
        </w:rPr>
        <w:t>户外广告的实际使用年限未达到设计使用年限，但登记期限届满，未能获得延期的广告，由设置者予以拆除，并恢复原场地功能，拆除构件不得用于户外广告设施，施工期间确保人员和设备安全。</w:t>
      </w:r>
      <w:r>
        <w:rPr>
          <w:rFonts w:hint="eastAsia" w:ascii="方正仿宋_GBK" w:eastAsia="方正仿宋_GBK"/>
        </w:rPr>
        <w:t xml:space="preserve"> </w:t>
      </w:r>
    </w:p>
    <w:p>
      <w:pPr>
        <w:pStyle w:val="157"/>
        <w:widowControl w:val="0"/>
        <w:spacing w:line="320" w:lineRule="exact"/>
        <w:jc w:val="both"/>
        <w:rPr>
          <w:rFonts w:ascii="方正仿宋_GBK" w:eastAsia="方正仿宋_GBK"/>
        </w:rPr>
      </w:pPr>
      <w:r>
        <w:rPr>
          <w:rFonts w:hint="eastAsia" w:ascii="方正仿宋_GBK" w:eastAsia="方正仿宋_GBK"/>
          <w:b/>
        </w:rPr>
        <w:t xml:space="preserve">10.3.3 </w:t>
      </w:r>
      <w:r>
        <w:rPr>
          <w:rFonts w:hint="eastAsia" w:ascii="方正仿宋_GBK" w:eastAsia="方正仿宋_GBK"/>
        </w:rPr>
        <w:t xml:space="preserve"> </w:t>
      </w:r>
      <w:r>
        <w:rPr>
          <w:rFonts w:hint="eastAsia" w:ascii="方正仿宋_GBK" w:eastAsia="方正仿宋_GBK" w:hAnsiTheme="minorEastAsia"/>
        </w:rPr>
        <w:t>临时性广告在相关活动结束后必须由户外广告设置人立即拆除，并恢复原场地功能。</w:t>
      </w:r>
    </w:p>
    <w:p>
      <w:pPr>
        <w:adjustRightInd w:val="0"/>
        <w:snapToGrid w:val="0"/>
        <w:spacing w:line="320" w:lineRule="exact"/>
        <w:ind w:firstLine="680" w:firstLineChars="200"/>
        <w:rPr>
          <w:rFonts w:eastAsiaTheme="minorEastAsia"/>
          <w:szCs w:val="21"/>
        </w:rPr>
      </w:pPr>
      <w:r>
        <w:rPr>
          <w:rFonts w:eastAsiaTheme="minorEastAsia"/>
          <w:szCs w:val="21"/>
        </w:rPr>
        <w:br w:type="page"/>
      </w:r>
    </w:p>
    <w:p>
      <w:pPr>
        <w:pStyle w:val="4"/>
        <w:keepNext w:val="0"/>
        <w:keepLines w:val="0"/>
        <w:adjustRightInd w:val="0"/>
        <w:snapToGrid w:val="0"/>
        <w:spacing w:before="120" w:beforeLines="50" w:after="120" w:afterLines="50" w:line="320" w:lineRule="exact"/>
        <w:jc w:val="center"/>
        <w:rPr>
          <w:rFonts w:ascii="方正黑体_GBK" w:hAnsi="Times New Roman" w:eastAsia="方正黑体_GBK"/>
          <w:b w:val="0"/>
          <w:szCs w:val="30"/>
        </w:rPr>
      </w:pPr>
      <w:r>
        <w:rPr>
          <w:rFonts w:hint="eastAsia" w:ascii="方正黑体_GBK" w:hAnsi="Times New Roman" w:eastAsia="方正黑体_GBK"/>
          <w:b w:val="0"/>
          <w:szCs w:val="30"/>
        </w:rPr>
        <w:t>本标准用词说明</w:t>
      </w:r>
    </w:p>
    <w:p>
      <w:pPr>
        <w:adjustRightInd w:val="0"/>
        <w:snapToGrid w:val="0"/>
        <w:spacing w:line="320" w:lineRule="exact"/>
        <w:ind w:firstLine="680" w:firstLineChars="200"/>
        <w:rPr>
          <w:rFonts w:eastAsiaTheme="minorEastAsia"/>
          <w:szCs w:val="21"/>
        </w:rPr>
      </w:pP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1  为便于在执行本标准条文时区别对待，对要求严格程度不同的用词，说明如下：</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1）表示很严格，非这样做不可的用词：</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正面词采用“必须”，反面词采用“严禁”。</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2）表示严格，在正常情况下均应这样做的用词：</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正面词采用“应”，反面词采用“不应”或“不得”。</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3）表示允许稍有选择，在条件许可时首先应这样做的用词：</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正面词采用“宜”，反面词采用“不宜”。</w:t>
      </w:r>
    </w:p>
    <w:p>
      <w:pPr>
        <w:adjustRightInd w:val="0"/>
        <w:snapToGrid w:val="0"/>
        <w:spacing w:line="320" w:lineRule="exact"/>
        <w:rPr>
          <w:rFonts w:ascii="方正仿宋_GBK" w:eastAsia="方正仿宋_GBK" w:hAnsiTheme="minorEastAsia"/>
          <w:color w:val="auto"/>
          <w:sz w:val="21"/>
          <w:szCs w:val="21"/>
        </w:rPr>
      </w:pPr>
      <w:r>
        <w:rPr>
          <w:rFonts w:hint="eastAsia" w:ascii="方正仿宋_GBK" w:eastAsia="方正仿宋_GBK" w:hAnsiTheme="minorEastAsia"/>
          <w:color w:val="auto"/>
          <w:sz w:val="21"/>
          <w:szCs w:val="21"/>
        </w:rPr>
        <w:t>4）表示有选择，在一定条件下可以这样做的用词，采用“可”。</w:t>
      </w:r>
    </w:p>
    <w:p>
      <w:pPr>
        <w:adjustRightInd w:val="0"/>
        <w:snapToGrid w:val="0"/>
        <w:spacing w:line="320" w:lineRule="exact"/>
        <w:rPr>
          <w:rFonts w:ascii="方正仿宋_GBK" w:eastAsia="方正仿宋_GBK" w:hAnsiTheme="minorEastAsia"/>
          <w:color w:val="auto"/>
          <w:sz w:val="21"/>
          <w:szCs w:val="21"/>
        </w:rPr>
      </w:pPr>
      <w:bookmarkStart w:id="56" w:name="_Toc15981871"/>
      <w:bookmarkStart w:id="57" w:name="_Toc17107026"/>
      <w:bookmarkStart w:id="58" w:name="_Toc15981942"/>
      <w:r>
        <w:rPr>
          <w:rFonts w:hint="eastAsia" w:ascii="方正仿宋_GBK" w:eastAsia="方正仿宋_GBK" w:hAnsiTheme="minorEastAsia"/>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1152525</wp:posOffset>
                </wp:positionH>
                <wp:positionV relativeFrom="paragraph">
                  <wp:posOffset>5949950</wp:posOffset>
                </wp:positionV>
                <wp:extent cx="1658620" cy="786765"/>
                <wp:effectExtent l="0" t="0" r="0" b="0"/>
                <wp:wrapNone/>
                <wp:docPr id="9" name="矩形 7"/>
                <wp:cNvGraphicFramePr/>
                <a:graphic xmlns:a="http://schemas.openxmlformats.org/drawingml/2006/main">
                  <a:graphicData uri="http://schemas.microsoft.com/office/word/2010/wordprocessingShape">
                    <wps:wsp>
                      <wps:cNvSpPr/>
                      <wps:spPr>
                        <a:xfrm>
                          <a:off x="0" y="0"/>
                          <a:ext cx="1658620" cy="786765"/>
                        </a:xfrm>
                        <a:prstGeom prst="rect">
                          <a:avLst/>
                        </a:prstGeom>
                        <a:solidFill>
                          <a:srgbClr val="FFFFFF"/>
                        </a:solidFill>
                        <a:ln w="9525">
                          <a:noFill/>
                        </a:ln>
                        <a:effectLst/>
                      </wps:spPr>
                      <wps:bodyPr upright="true"/>
                    </wps:wsp>
                  </a:graphicData>
                </a:graphic>
              </wp:anchor>
            </w:drawing>
          </mc:Choice>
          <mc:Fallback>
            <w:pict>
              <v:rect id="矩形 7" o:spid="_x0000_s1026" o:spt="1" style="position:absolute;left:0pt;margin-left:90.75pt;margin-top:468.5pt;height:61.95pt;width:130.6pt;z-index:251661312;mso-width-relative:page;mso-height-relative:page;" fillcolor="#FFFFFF" filled="t" stroked="f" coordsize="21600,21600" o:gfxdata="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CzGrh02AAAAAwBAAAPAAAAAAAAAAEAIAAAADgAAABkcnMvZG93bnJldi54bWxQSwECFAAU&#10;AAAACACHTuJAA7nKpKIBAAArAwAADgAAAAAAAAABACAAAAA9AQAAZHJzL2Uyb0RvYy54bWxQSwUG&#10;AAAAAAYABgBZAQAAUQUAAAAA&#10;">
                <v:fill on="t" focussize="0,0"/>
                <v:stroke on="f"/>
                <v:imagedata o:title=""/>
                <o:lock v:ext="edit" aspectratio="f"/>
              </v:rect>
            </w:pict>
          </mc:Fallback>
        </mc:AlternateContent>
      </w:r>
      <w:bookmarkEnd w:id="56"/>
      <w:bookmarkEnd w:id="57"/>
      <w:bookmarkEnd w:id="58"/>
      <w:r>
        <w:rPr>
          <w:rFonts w:hint="eastAsia" w:ascii="方正仿宋_GBK" w:eastAsia="方正仿宋_GBK" w:hAnsiTheme="minorEastAsia"/>
          <w:color w:val="auto"/>
          <w:sz w:val="21"/>
          <w:szCs w:val="21"/>
        </w:rPr>
        <w:t>2  条文中指明应按其它有关标准执行的写法为：“应符合……的规定”或“应按……执行”。</w:t>
      </w:r>
    </w:p>
    <w:bookmarkEnd w:id="1"/>
    <w:bookmarkEnd w:id="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Pr>
        <w:spacing w:line="320" w:lineRule="exact"/>
        <w:ind w:firstLine="680" w:firstLineChars="200"/>
        <w:rPr>
          <w:rFonts w:ascii="方正仿宋_GBK" w:eastAsia="方正仿宋_GBK"/>
          <w:szCs w:val="21"/>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adjustRightInd w:val="0"/>
        <w:snapToGrid w:val="0"/>
        <w:spacing w:line="320" w:lineRule="exact"/>
        <w:jc w:val="left"/>
        <w:rPr>
          <w:rFonts w:ascii="方正黑体_GBK" w:hAnsi="黑体" w:eastAsia="方正黑体_GBK"/>
          <w:color w:val="auto"/>
          <w:sz w:val="32"/>
          <w:szCs w:val="32"/>
        </w:rPr>
      </w:pPr>
      <w:bookmarkStart w:id="59" w:name="_Toc26964915"/>
    </w:p>
    <w:p>
      <w:pPr>
        <w:adjustRightInd w:val="0"/>
        <w:snapToGrid w:val="0"/>
        <w:spacing w:line="320" w:lineRule="exact"/>
        <w:jc w:val="left"/>
        <w:rPr>
          <w:rFonts w:ascii="方正黑体_GBK" w:hAnsi="黑体" w:eastAsia="方正黑体_GBK"/>
          <w:color w:val="auto"/>
          <w:sz w:val="32"/>
          <w:szCs w:val="32"/>
        </w:rPr>
      </w:pPr>
      <w:r>
        <w:rPr>
          <w:rFonts w:hint="eastAsia" w:ascii="方正黑体_GBK" w:hAnsi="黑体" w:eastAsia="方正黑体_GBK"/>
          <w:color w:val="auto"/>
          <w:sz w:val="32"/>
          <w:szCs w:val="32"/>
        </w:rPr>
        <w:t>附件4</w:t>
      </w:r>
    </w:p>
    <w:p>
      <w:pPr>
        <w:pStyle w:val="2"/>
        <w:rPr>
          <w:rFonts w:hint="default"/>
        </w:rPr>
      </w:pPr>
    </w:p>
    <w:p>
      <w:pPr>
        <w:adjustRightInd w:val="0"/>
        <w:snapToGrid w:val="0"/>
        <w:spacing w:line="480" w:lineRule="exact"/>
        <w:jc w:val="center"/>
        <w:rPr>
          <w:rFonts w:ascii="方正黑体_GBK" w:hAnsi="黑体" w:eastAsia="方正黑体_GBK"/>
          <w:b/>
          <w:color w:val="auto"/>
          <w:sz w:val="32"/>
          <w:szCs w:val="32"/>
        </w:rPr>
      </w:pPr>
      <w:r>
        <w:rPr>
          <w:rFonts w:hint="eastAsia" w:ascii="方正黑体_GBK" w:hAnsi="黑体" w:eastAsia="方正黑体_GBK"/>
          <w:b/>
          <w:color w:val="auto"/>
          <w:sz w:val="32"/>
          <w:szCs w:val="32"/>
        </w:rPr>
        <w:t>重庆市城市管理标准</w:t>
      </w:r>
    </w:p>
    <w:p>
      <w:pPr>
        <w:adjustRightInd w:val="0"/>
        <w:snapToGrid w:val="0"/>
        <w:spacing w:line="480" w:lineRule="exact"/>
        <w:jc w:val="center"/>
        <w:rPr>
          <w:rFonts w:ascii="方正黑体_GBK" w:hAnsi="黑体" w:eastAsia="方正黑体_GBK"/>
          <w:b/>
          <w:color w:val="auto"/>
          <w:sz w:val="32"/>
          <w:szCs w:val="32"/>
        </w:rPr>
      </w:pPr>
    </w:p>
    <w:p>
      <w:pPr>
        <w:adjustRightInd w:val="0"/>
        <w:snapToGrid w:val="0"/>
        <w:spacing w:line="480" w:lineRule="exact"/>
        <w:jc w:val="center"/>
        <w:rPr>
          <w:rFonts w:ascii="方正黑体_GBK" w:hAnsi="黑体" w:eastAsia="方正黑体_GBK"/>
          <w:b/>
          <w:color w:val="auto"/>
          <w:sz w:val="32"/>
          <w:szCs w:val="32"/>
        </w:rPr>
      </w:pPr>
      <w:r>
        <w:rPr>
          <w:rFonts w:hint="eastAsia" w:ascii="方正黑体_GBK" w:hAnsi="黑体" w:eastAsia="方正黑体_GBK"/>
          <w:b/>
          <w:color w:val="auto"/>
          <w:sz w:val="32"/>
          <w:szCs w:val="32"/>
        </w:rPr>
        <w:t>户外招牌设置规范</w:t>
      </w:r>
    </w:p>
    <w:p>
      <w:pPr>
        <w:adjustRightInd w:val="0"/>
        <w:snapToGrid w:val="0"/>
        <w:spacing w:line="480" w:lineRule="exact"/>
        <w:jc w:val="center"/>
        <w:rPr>
          <w:rFonts w:ascii="方正黑体_GBK" w:hAnsi="黑体" w:eastAsia="方正黑体_GBK"/>
          <w:b/>
          <w:color w:val="auto"/>
          <w:sz w:val="32"/>
          <w:szCs w:val="32"/>
        </w:rPr>
      </w:pPr>
    </w:p>
    <w:p>
      <w:pPr>
        <w:adjustRightInd w:val="0"/>
        <w:snapToGrid w:val="0"/>
        <w:spacing w:line="480" w:lineRule="exact"/>
        <w:jc w:val="center"/>
        <w:rPr>
          <w:rFonts w:hAnsi="宋体"/>
          <w:color w:val="auto"/>
          <w:sz w:val="28"/>
          <w:szCs w:val="28"/>
        </w:rPr>
      </w:pPr>
    </w:p>
    <w:p>
      <w:pPr>
        <w:adjustRightInd w:val="0"/>
        <w:snapToGrid w:val="0"/>
        <w:spacing w:line="480" w:lineRule="exact"/>
        <w:jc w:val="center"/>
        <w:rPr>
          <w:rFonts w:ascii="方正书宋简体" w:eastAsia="方正书宋简体" w:hAnsiTheme="minorEastAsia"/>
          <w:b/>
          <w:bCs/>
          <w:color w:val="auto"/>
          <w:sz w:val="21"/>
          <w:szCs w:val="21"/>
        </w:rPr>
      </w:pPr>
      <w:r>
        <w:rPr>
          <w:rFonts w:ascii="方正书宋简体" w:eastAsia="方正书宋简体" w:hAnsiTheme="minorEastAsia"/>
          <w:b/>
          <w:bCs/>
          <w:color w:val="auto"/>
          <w:sz w:val="21"/>
          <w:szCs w:val="21"/>
        </w:rPr>
        <w:t xml:space="preserve">Specification </w:t>
      </w:r>
      <w:r>
        <w:rPr>
          <w:rFonts w:hint="eastAsia" w:ascii="方正书宋简体" w:eastAsia="方正书宋简体" w:hAnsiTheme="minorEastAsia"/>
          <w:b/>
          <w:bCs/>
          <w:color w:val="auto"/>
          <w:sz w:val="21"/>
          <w:szCs w:val="21"/>
        </w:rPr>
        <w:t>For</w:t>
      </w:r>
      <w:r>
        <w:rPr>
          <w:rFonts w:ascii="方正书宋简体" w:eastAsia="方正书宋简体" w:hAnsiTheme="minorEastAsia"/>
          <w:b/>
          <w:bCs/>
          <w:color w:val="auto"/>
          <w:sz w:val="21"/>
          <w:szCs w:val="21"/>
        </w:rPr>
        <w:t xml:space="preserve"> Outdoor Signboard</w:t>
      </w:r>
      <w:r>
        <w:rPr>
          <w:rFonts w:hint="eastAsia" w:ascii="方正书宋简体" w:eastAsia="方正书宋简体" w:hAnsiTheme="minorEastAsia"/>
          <w:b/>
          <w:bCs/>
          <w:color w:val="auto"/>
          <w:sz w:val="21"/>
          <w:szCs w:val="21"/>
        </w:rPr>
        <w:t xml:space="preserve"> Setting</w:t>
      </w:r>
    </w:p>
    <w:p>
      <w:pPr>
        <w:adjustRightInd w:val="0"/>
        <w:snapToGrid w:val="0"/>
        <w:spacing w:line="480" w:lineRule="exact"/>
        <w:ind w:firstLine="680" w:firstLineChars="200"/>
        <w:rPr>
          <w:rFonts w:ascii="方正书宋简体" w:hAnsi="宋体" w:eastAsia="方正书宋简体"/>
          <w:color w:val="auto"/>
          <w:szCs w:val="21"/>
        </w:rPr>
      </w:pPr>
    </w:p>
    <w:p>
      <w:pPr>
        <w:adjustRightInd w:val="0"/>
        <w:snapToGrid w:val="0"/>
        <w:spacing w:line="480" w:lineRule="exact"/>
        <w:ind w:firstLine="680" w:firstLineChars="200"/>
        <w:rPr>
          <w:rFonts w:hAnsi="宋体"/>
          <w:color w:val="auto"/>
          <w:szCs w:val="21"/>
        </w:rPr>
      </w:pPr>
    </w:p>
    <w:p>
      <w:pPr>
        <w:adjustRightInd w:val="0"/>
        <w:snapToGrid w:val="0"/>
        <w:spacing w:line="480" w:lineRule="exact"/>
        <w:jc w:val="center"/>
        <w:rPr>
          <w:rFonts w:hAnsi="宋体" w:eastAsia="宋体"/>
          <w:b/>
          <w:color w:val="auto"/>
          <w:sz w:val="24"/>
        </w:rPr>
      </w:pPr>
      <w:r>
        <w:rPr>
          <w:rFonts w:hint="eastAsia" w:hAnsi="宋体" w:eastAsia="宋体"/>
          <w:b/>
          <w:color w:val="auto"/>
          <w:sz w:val="24"/>
        </w:rPr>
        <w:t>CG 031—2019</w:t>
      </w:r>
    </w:p>
    <w:p>
      <w:pPr>
        <w:adjustRightInd w:val="0"/>
        <w:snapToGrid w:val="0"/>
        <w:spacing w:line="480" w:lineRule="exact"/>
        <w:ind w:firstLine="680" w:firstLineChars="200"/>
        <w:rPr>
          <w:rFonts w:hAnsi="宋体"/>
          <w:color w:val="auto"/>
          <w:szCs w:val="21"/>
        </w:rPr>
      </w:pPr>
    </w:p>
    <w:p>
      <w:pPr>
        <w:adjustRightInd w:val="0"/>
        <w:snapToGrid w:val="0"/>
        <w:spacing w:line="480" w:lineRule="exact"/>
        <w:ind w:firstLine="720" w:firstLineChars="300"/>
        <w:jc w:val="center"/>
        <w:rPr>
          <w:rFonts w:ascii="方正仿宋_GBK" w:hAnsi="宋体" w:eastAsia="方正仿宋_GBK"/>
          <w:color w:val="auto"/>
          <w:sz w:val="24"/>
        </w:rPr>
      </w:pPr>
      <w:r>
        <w:rPr>
          <w:rFonts w:hint="eastAsia" w:ascii="方正仿宋_GBK" w:hAnsi="宋体" w:eastAsia="方正仿宋_GBK"/>
          <w:color w:val="auto"/>
          <w:sz w:val="24"/>
        </w:rPr>
        <w:t>主编单位：重庆市计量质量检测研究院</w:t>
      </w:r>
    </w:p>
    <w:p>
      <w:pPr>
        <w:adjustRightInd w:val="0"/>
        <w:snapToGrid w:val="0"/>
        <w:spacing w:line="480" w:lineRule="exact"/>
        <w:ind w:firstLine="720" w:firstLineChars="300"/>
        <w:jc w:val="center"/>
        <w:rPr>
          <w:rFonts w:ascii="方正仿宋_GBK" w:hAnsi="宋体" w:eastAsia="方正仿宋_GBK"/>
          <w:color w:val="auto"/>
          <w:sz w:val="24"/>
        </w:rPr>
      </w:pPr>
      <w:r>
        <w:rPr>
          <w:rFonts w:hint="eastAsia" w:ascii="方正仿宋_GBK" w:hAnsi="宋体" w:eastAsia="方正仿宋_GBK"/>
          <w:color w:val="auto"/>
          <w:sz w:val="24"/>
        </w:rPr>
        <w:t>批准部门：重庆市城市管理局</w:t>
      </w:r>
    </w:p>
    <w:p>
      <w:pPr>
        <w:adjustRightInd w:val="0"/>
        <w:snapToGrid w:val="0"/>
        <w:spacing w:line="480" w:lineRule="exact"/>
        <w:ind w:firstLine="720" w:firstLineChars="300"/>
        <w:jc w:val="center"/>
        <w:rPr>
          <w:rFonts w:ascii="方正仿宋_GBK" w:hAnsi="宋体" w:eastAsia="方正仿宋_GBK"/>
          <w:color w:val="auto"/>
          <w:sz w:val="24"/>
        </w:rPr>
      </w:pPr>
      <w:r>
        <w:rPr>
          <w:rFonts w:hint="eastAsia" w:ascii="方正仿宋_GBK" w:hAnsi="宋体" w:eastAsia="方正仿宋_GBK"/>
          <w:color w:val="auto"/>
          <w:sz w:val="24"/>
        </w:rPr>
        <w:t>施行日期：2020年5月1日</w:t>
      </w:r>
    </w:p>
    <w:p>
      <w:pPr>
        <w:adjustRightInd w:val="0"/>
        <w:snapToGrid w:val="0"/>
        <w:spacing w:line="480" w:lineRule="exact"/>
        <w:rPr>
          <w:rFonts w:ascii="方正仿宋_GBK" w:hAnsi="宋体" w:eastAsia="方正仿宋_GBK"/>
          <w:color w:val="auto"/>
          <w:sz w:val="24"/>
        </w:rPr>
      </w:pPr>
    </w:p>
    <w:p>
      <w:pPr>
        <w:adjustRightInd w:val="0"/>
        <w:snapToGrid w:val="0"/>
        <w:spacing w:line="480" w:lineRule="exact"/>
        <w:ind w:firstLine="680" w:firstLineChars="200"/>
        <w:rPr>
          <w:rFonts w:ascii="方正仿宋_GBK" w:hAnsi="宋体" w:eastAsia="方正仿宋_GBK"/>
          <w:color w:val="auto"/>
          <w:szCs w:val="21"/>
        </w:rPr>
      </w:pPr>
    </w:p>
    <w:p>
      <w:pPr>
        <w:adjustRightInd w:val="0"/>
        <w:snapToGrid w:val="0"/>
        <w:spacing w:line="480" w:lineRule="exact"/>
        <w:ind w:firstLine="680" w:firstLineChars="200"/>
        <w:rPr>
          <w:rFonts w:ascii="方正仿宋_GBK" w:hAnsi="宋体" w:eastAsia="方正仿宋_GBK"/>
          <w:color w:val="auto"/>
          <w:szCs w:val="21"/>
        </w:rPr>
      </w:pPr>
    </w:p>
    <w:p>
      <w:pPr>
        <w:adjustRightInd w:val="0"/>
        <w:snapToGrid w:val="0"/>
        <w:spacing w:line="480" w:lineRule="exact"/>
        <w:ind w:firstLine="680" w:firstLineChars="200"/>
        <w:rPr>
          <w:rFonts w:hAnsi="宋体"/>
          <w:color w:val="auto"/>
          <w:szCs w:val="21"/>
        </w:rPr>
      </w:pPr>
    </w:p>
    <w:p>
      <w:pPr>
        <w:pStyle w:val="2"/>
        <w:rPr>
          <w:rFonts w:hint="default"/>
        </w:rPr>
      </w:pPr>
    </w:p>
    <w:p>
      <w:pPr>
        <w:adjustRightInd w:val="0"/>
        <w:snapToGrid w:val="0"/>
        <w:spacing w:line="480" w:lineRule="exact"/>
        <w:jc w:val="center"/>
        <w:rPr>
          <w:rFonts w:ascii="黑体" w:hAnsi="黑体" w:eastAsia="黑体"/>
          <w:color w:val="auto"/>
          <w:sz w:val="28"/>
          <w:szCs w:val="28"/>
        </w:rPr>
      </w:pPr>
      <w:r>
        <w:rPr>
          <w:rFonts w:hint="eastAsia" w:hAnsi="宋体"/>
          <w:b/>
          <w:color w:val="auto"/>
          <w:sz w:val="28"/>
          <w:szCs w:val="28"/>
        </w:rPr>
        <w:t xml:space="preserve">  2020</w:t>
      </w:r>
      <w:r>
        <w:rPr>
          <w:rFonts w:hint="eastAsia" w:hAnsi="宋体"/>
          <w:color w:val="auto"/>
          <w:sz w:val="28"/>
          <w:szCs w:val="28"/>
        </w:rPr>
        <w:t>·</w:t>
      </w:r>
      <w:r>
        <w:rPr>
          <w:rFonts w:hint="eastAsia" w:ascii="黑体" w:hAnsi="黑体" w:eastAsia="黑体"/>
          <w:color w:val="auto"/>
          <w:sz w:val="28"/>
          <w:szCs w:val="28"/>
        </w:rPr>
        <w:t>重庆</w:t>
      </w:r>
    </w:p>
    <w:p>
      <w:pPr>
        <w:pStyle w:val="2"/>
        <w:rPr>
          <w:rFonts w:hint="default"/>
        </w:rPr>
      </w:pPr>
    </w:p>
    <w:p>
      <w:pPr>
        <w:adjustRightInd w:val="0"/>
        <w:snapToGrid w:val="0"/>
        <w:spacing w:line="380" w:lineRule="exact"/>
        <w:jc w:val="center"/>
        <w:rPr>
          <w:rFonts w:eastAsia="方正小标宋简体"/>
          <w:color w:val="auto"/>
          <w:sz w:val="36"/>
          <w:szCs w:val="36"/>
        </w:rPr>
      </w:pPr>
    </w:p>
    <w:bookmarkEnd w:id="59"/>
    <w:p>
      <w:pPr>
        <w:pStyle w:val="3"/>
        <w:adjustRightInd w:val="0"/>
        <w:snapToGrid w:val="0"/>
        <w:spacing w:beforeAutospacing="0" w:afterAutospacing="0" w:line="320" w:lineRule="exact"/>
        <w:jc w:val="both"/>
        <w:rPr>
          <w:rFonts w:eastAsiaTheme="minorEastAsia"/>
          <w:b w:val="0"/>
          <w:sz w:val="21"/>
          <w:szCs w:val="21"/>
        </w:rPr>
      </w:pPr>
      <w:r>
        <w:rPr>
          <w:rFonts w:eastAsiaTheme="minorEastAsia"/>
          <w:b w:val="0"/>
          <w:sz w:val="21"/>
          <w:szCs w:val="21"/>
        </w:rPr>
        <w:br w:type="page"/>
      </w:r>
      <w:bookmarkStart w:id="60" w:name="_Toc26964916"/>
    </w:p>
    <w:p>
      <w:pPr>
        <w:pStyle w:val="2"/>
        <w:jc w:val="center"/>
        <w:rPr>
          <w:rFonts w:hint="default" w:ascii="方正黑体_GBK" w:eastAsia="方正黑体_GBK"/>
          <w:sz w:val="36"/>
          <w:szCs w:val="36"/>
        </w:rPr>
      </w:pPr>
      <w:r>
        <w:rPr>
          <w:rFonts w:ascii="方正黑体_GBK" w:eastAsia="方正黑体_GBK"/>
          <w:sz w:val="36"/>
          <w:szCs w:val="36"/>
        </w:rPr>
        <w:t>前  言</w:t>
      </w:r>
    </w:p>
    <w:p>
      <w:pPr>
        <w:pStyle w:val="2"/>
        <w:jc w:val="center"/>
        <w:rPr>
          <w:rFonts w:hint="default" w:ascii="方正黑体_GBK" w:eastAsia="方正黑体_GBK"/>
          <w:sz w:val="36"/>
          <w:szCs w:val="36"/>
        </w:rPr>
      </w:pPr>
    </w:p>
    <w:p>
      <w:pPr>
        <w:pStyle w:val="2"/>
        <w:spacing w:line="500" w:lineRule="exact"/>
        <w:ind w:firstLine="480" w:firstLineChars="200"/>
        <w:rPr>
          <w:rFonts w:hint="default" w:ascii="方正仿宋_GBK" w:eastAsia="方正仿宋_GBK"/>
        </w:rPr>
      </w:pPr>
      <w:r>
        <w:rPr>
          <w:rFonts w:ascii="方正仿宋_GBK" w:eastAsia="方正仿宋_GBK"/>
        </w:rPr>
        <w:t>为规范重庆市户外招牌设置管理，提升户外招牌设置品质，科学合理的利用城市空间资源，美化城市视觉环境，依据《广告法》、《重庆市户外广告管理条例》等，结合重庆本地实际制定。</w:t>
      </w:r>
    </w:p>
    <w:p>
      <w:pPr>
        <w:pStyle w:val="2"/>
        <w:spacing w:line="500" w:lineRule="exact"/>
        <w:ind w:firstLine="480" w:firstLineChars="200"/>
        <w:rPr>
          <w:rFonts w:hint="default" w:ascii="方正仿宋_GBK" w:eastAsia="方正仿宋_GBK"/>
        </w:rPr>
      </w:pPr>
      <w:r>
        <w:rPr>
          <w:rFonts w:ascii="方正仿宋_GBK" w:eastAsia="方正仿宋_GBK"/>
        </w:rPr>
        <w:t>本规范内容包括：1.总则；2.规范性引用文件；3.术语与定义；4.户外招牌分类；5.通用设置；6.分类设置；7.户外招牌设计；8.户外招牌制作；9.安装与施工；10.维护与保养；11.验收与检测。</w:t>
      </w:r>
    </w:p>
    <w:p>
      <w:pPr>
        <w:pStyle w:val="2"/>
        <w:spacing w:line="500" w:lineRule="exact"/>
        <w:ind w:firstLine="480" w:firstLineChars="200"/>
        <w:rPr>
          <w:rFonts w:hint="default" w:ascii="方正仿宋_GBK" w:eastAsia="方正仿宋_GBK"/>
        </w:rPr>
      </w:pPr>
      <w:r>
        <w:rPr>
          <w:rFonts w:ascii="方正仿宋_GBK" w:eastAsia="方正仿宋_GBK"/>
        </w:rPr>
        <w:t>本规范按照GB/T 1.1-2009给出的规则起草。</w:t>
      </w:r>
    </w:p>
    <w:p>
      <w:pPr>
        <w:pStyle w:val="2"/>
        <w:spacing w:line="500" w:lineRule="exact"/>
        <w:ind w:firstLine="480" w:firstLineChars="200"/>
        <w:rPr>
          <w:rFonts w:hint="default" w:ascii="方正仿宋_GBK" w:eastAsia="方正仿宋_GBK"/>
        </w:rPr>
      </w:pPr>
      <w:r>
        <w:rPr>
          <w:rFonts w:ascii="方正仿宋_GBK" w:eastAsia="方正仿宋_GBK"/>
        </w:rPr>
        <w:t>本规范由重庆市城市管理局提出并归口管理。</w:t>
      </w:r>
    </w:p>
    <w:p>
      <w:pPr>
        <w:pStyle w:val="2"/>
        <w:spacing w:line="500" w:lineRule="exact"/>
        <w:ind w:firstLine="480" w:firstLineChars="200"/>
        <w:rPr>
          <w:rFonts w:hint="default" w:ascii="方正仿宋_GBK" w:eastAsia="方正仿宋_GBK"/>
        </w:rPr>
      </w:pPr>
      <w:r>
        <w:rPr>
          <w:rFonts w:ascii="方正仿宋_GBK" w:eastAsia="方正仿宋_GBK"/>
        </w:rPr>
        <w:t>本规范起草单位：重庆市计量质量检测研究院</w:t>
      </w:r>
    </w:p>
    <w:p>
      <w:pPr>
        <w:pStyle w:val="2"/>
        <w:spacing w:line="500" w:lineRule="exact"/>
        <w:ind w:firstLine="480" w:firstLineChars="200"/>
        <w:rPr>
          <w:rFonts w:hint="default" w:ascii="方正仿宋_GBK" w:eastAsia="方正仿宋_GBK"/>
        </w:rPr>
      </w:pPr>
      <w:r>
        <w:rPr>
          <w:rFonts w:ascii="方正仿宋_GBK" w:eastAsia="方正仿宋_GBK"/>
        </w:rPr>
        <w:t>重庆日报报业集团户外传媒有限公司</w:t>
      </w:r>
    </w:p>
    <w:p>
      <w:pPr>
        <w:pStyle w:val="2"/>
        <w:spacing w:line="500" w:lineRule="exact"/>
        <w:ind w:firstLine="480" w:firstLineChars="200"/>
        <w:rPr>
          <w:rFonts w:hint="default" w:ascii="方正仿宋_GBK" w:eastAsia="方正仿宋_GBK"/>
        </w:rPr>
      </w:pPr>
      <w:r>
        <w:rPr>
          <w:rFonts w:ascii="方正仿宋_GBK" w:eastAsia="方正仿宋_GBK"/>
        </w:rPr>
        <w:t>重庆公用站台设施投资开发（集团）有限公司</w:t>
      </w:r>
    </w:p>
    <w:p>
      <w:pPr>
        <w:pStyle w:val="2"/>
        <w:spacing w:line="500" w:lineRule="exact"/>
        <w:ind w:firstLine="480" w:firstLineChars="200"/>
        <w:rPr>
          <w:rFonts w:hint="default" w:ascii="方正仿宋_GBK" w:eastAsia="方正仿宋_GBK"/>
        </w:rPr>
      </w:pPr>
      <w:r>
        <w:rPr>
          <w:rFonts w:ascii="方正仿宋_GBK" w:eastAsia="方正仿宋_GBK"/>
        </w:rPr>
        <w:t>渝中区城市管理局</w:t>
      </w:r>
    </w:p>
    <w:p>
      <w:pPr>
        <w:pStyle w:val="2"/>
        <w:spacing w:line="500" w:lineRule="exact"/>
        <w:ind w:firstLine="480" w:firstLineChars="200"/>
        <w:rPr>
          <w:rFonts w:hint="default" w:ascii="方正仿宋_GBK" w:eastAsia="方正仿宋_GBK"/>
        </w:rPr>
      </w:pPr>
      <w:r>
        <w:rPr>
          <w:rFonts w:ascii="方正仿宋_GBK" w:eastAsia="方正仿宋_GBK"/>
        </w:rPr>
        <w:t>江北区城市管理局</w:t>
      </w:r>
    </w:p>
    <w:p>
      <w:pPr>
        <w:pStyle w:val="2"/>
        <w:spacing w:line="500" w:lineRule="exact"/>
        <w:ind w:firstLine="480" w:firstLineChars="200"/>
        <w:rPr>
          <w:rFonts w:hint="default" w:ascii="方正仿宋_GBK" w:eastAsia="方正仿宋_GBK"/>
        </w:rPr>
      </w:pPr>
      <w:r>
        <w:rPr>
          <w:rFonts w:ascii="方正仿宋_GBK" w:eastAsia="方正仿宋_GBK"/>
        </w:rPr>
        <w:t>重庆市城市建设技工学校</w:t>
      </w:r>
    </w:p>
    <w:p>
      <w:pPr>
        <w:pStyle w:val="2"/>
        <w:spacing w:line="500" w:lineRule="exact"/>
        <w:ind w:firstLine="480" w:firstLineChars="200"/>
        <w:rPr>
          <w:rFonts w:hint="default" w:ascii="方正仿宋_GBK" w:eastAsia="方正仿宋_GBK"/>
        </w:rPr>
      </w:pPr>
      <w:r>
        <w:rPr>
          <w:rFonts w:ascii="方正仿宋_GBK" w:eastAsia="方正仿宋_GBK"/>
        </w:rPr>
        <w:t>主要起草人：陈  静  曾晋春  任  伟  汪  玮  王成斌  黄林平  罗沛姿</w:t>
      </w:r>
    </w:p>
    <w:p>
      <w:pPr>
        <w:pStyle w:val="2"/>
        <w:spacing w:line="500" w:lineRule="exact"/>
        <w:ind w:firstLine="480" w:firstLineChars="200"/>
        <w:rPr>
          <w:rFonts w:hint="default" w:ascii="方正仿宋_GBK" w:eastAsia="方正仿宋_GBK"/>
        </w:rPr>
      </w:pPr>
      <w:r>
        <w:rPr>
          <w:rFonts w:ascii="方正仿宋_GBK" w:eastAsia="方正仿宋_GBK"/>
        </w:rPr>
        <w:t>审查专家：  谢吾同  蔡  敏  冯建平  肖金生 何彩霞  范远东  黄  正</w:t>
      </w:r>
    </w:p>
    <w:p>
      <w:pPr>
        <w:pStyle w:val="2"/>
        <w:spacing w:line="500" w:lineRule="exact"/>
        <w:rPr>
          <w:rFonts w:hint="default" w:ascii="方正仿宋_GBK" w:eastAsia="方正仿宋_GBK"/>
        </w:rPr>
      </w:pPr>
      <w:r>
        <w:rPr>
          <w:rFonts w:ascii="方正仿宋_GBK" w:eastAsia="方正仿宋_GBK"/>
        </w:rPr>
        <w:t xml:space="preserve"> </w:t>
      </w:r>
    </w:p>
    <w:p>
      <w:pPr>
        <w:pStyle w:val="2"/>
        <w:rPr>
          <w:rFonts w:hint="default"/>
        </w:rPr>
      </w:pPr>
    </w:p>
    <w:p>
      <w:pPr>
        <w:pStyle w:val="2"/>
        <w:rPr>
          <w:rFonts w:hint="default"/>
        </w:rPr>
      </w:pPr>
    </w:p>
    <w:p>
      <w:pPr>
        <w:pStyle w:val="2"/>
        <w:rPr>
          <w:rFonts w:hint="default"/>
        </w:rPr>
      </w:pPr>
    </w:p>
    <w:p>
      <w:pPr>
        <w:pStyle w:val="2"/>
        <w:rPr>
          <w:rFonts w:hint="default"/>
        </w:rPr>
      </w:pP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r>
        <w:rPr>
          <w:rFonts w:hint="eastAsia" w:ascii="Times New Roman" w:hAnsi="Times New Roman" w:eastAsia="宋体"/>
          <w:sz w:val="30"/>
          <w:szCs w:val="30"/>
        </w:rPr>
        <w:t>1  总  则</w:t>
      </w:r>
    </w:p>
    <w:p>
      <w:pPr>
        <w:pStyle w:val="2"/>
        <w:rPr>
          <w:rFonts w:hint="default" w:ascii="方正仿宋_GBK" w:eastAsia="方正仿宋_GBK"/>
        </w:rPr>
      </w:pPr>
    </w:p>
    <w:p>
      <w:pPr>
        <w:pStyle w:val="2"/>
        <w:rPr>
          <w:rFonts w:hint="default" w:ascii="方正仿宋_GBK" w:eastAsia="方正仿宋_GBK"/>
        </w:rPr>
      </w:pPr>
      <w:r>
        <w:rPr>
          <w:rFonts w:ascii="方正仿宋_GBK" w:eastAsia="方正仿宋_GBK"/>
          <w:b/>
        </w:rPr>
        <w:t xml:space="preserve">1.0.1 </w:t>
      </w:r>
      <w:r>
        <w:rPr>
          <w:rFonts w:ascii="方正仿宋_GBK" w:eastAsia="方正仿宋_GBK"/>
        </w:rPr>
        <w:t xml:space="preserve"> 本标准规定了户外招牌的分类、设置规定、制作、安装与施工、维护与保养、验收与检测等有关技术要求。</w:t>
      </w:r>
    </w:p>
    <w:p>
      <w:pPr>
        <w:pStyle w:val="2"/>
        <w:rPr>
          <w:rFonts w:hint="default" w:ascii="方正仿宋_GBK" w:eastAsia="方正仿宋_GBK"/>
        </w:rPr>
      </w:pPr>
      <w:r>
        <w:rPr>
          <w:rFonts w:ascii="方正仿宋_GBK" w:eastAsia="方正仿宋_GBK"/>
          <w:b/>
        </w:rPr>
        <w:t xml:space="preserve">1.0.2 </w:t>
      </w:r>
      <w:r>
        <w:rPr>
          <w:rFonts w:ascii="方正仿宋_GBK" w:eastAsia="方正仿宋_GBK"/>
        </w:rPr>
        <w:t xml:space="preserve"> 本规范适用于本市城市规划区及风景名胜区。其他区域参照执行。</w:t>
      </w:r>
    </w:p>
    <w:p>
      <w:pPr>
        <w:pStyle w:val="2"/>
        <w:rPr>
          <w:rFonts w:hint="default" w:ascii="方正仿宋_GBK" w:eastAsia="方正仿宋_GBK"/>
        </w:rPr>
        <w:sectPr>
          <w:footerReference r:id="rId5" w:type="default"/>
          <w:footerReference r:id="rId6" w:type="even"/>
          <w:pgSz w:w="11906" w:h="16838"/>
          <w:pgMar w:top="2098" w:right="1474" w:bottom="1985" w:left="1588" w:header="851" w:footer="454" w:gutter="0"/>
          <w:pgNumType w:fmt="numberInDash" w:start="8"/>
          <w:cols w:space="720" w:num="1"/>
          <w:docGrid w:linePitch="579" w:charSpace="-1749"/>
        </w:sectPr>
      </w:pPr>
      <w:r>
        <w:rPr>
          <w:rFonts w:ascii="方正仿宋_GBK" w:eastAsia="方正仿宋_GBK"/>
          <w:b/>
        </w:rPr>
        <w:t xml:space="preserve">1.0.3 </w:t>
      </w:r>
      <w:r>
        <w:rPr>
          <w:rFonts w:ascii="方正仿宋_GBK" w:eastAsia="方正仿宋_GBK"/>
        </w:rPr>
        <w:t xml:space="preserve"> 本规范未包括的事项，应符合国家、本市现行有关法规和规范。</w:t>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r>
        <w:rPr>
          <w:rFonts w:ascii="Times New Roman" w:hAnsi="Times New Roman" w:eastAsia="宋体"/>
          <w:sz w:val="30"/>
          <w:szCs w:val="30"/>
        </w:rPr>
        <w:t>2  规范性引用文件</w:t>
      </w:r>
      <w:bookmarkEnd w:id="60"/>
    </w:p>
    <w:p>
      <w:pPr>
        <w:pStyle w:val="99"/>
        <w:widowControl w:val="0"/>
        <w:tabs>
          <w:tab w:val="center" w:pos="4201"/>
          <w:tab w:val="right" w:leader="dot" w:pos="9298"/>
        </w:tabs>
        <w:adjustRightInd w:val="0"/>
        <w:snapToGrid w:val="0"/>
        <w:spacing w:line="320" w:lineRule="exact"/>
        <w:ind w:firstLine="0" w:firstLineChars="0"/>
        <w:rPr>
          <w:rFonts w:ascii="Times New Roman" w:hAnsiTheme="minorEastAsia" w:eastAsiaTheme="minorEastAsia"/>
          <w:szCs w:val="21"/>
        </w:rPr>
      </w:pPr>
    </w:p>
    <w:p>
      <w:pPr>
        <w:pStyle w:val="99"/>
        <w:widowControl w:val="0"/>
        <w:tabs>
          <w:tab w:val="center" w:pos="4201"/>
          <w:tab w:val="right" w:leader="dot" w:pos="9298"/>
        </w:tabs>
        <w:adjustRightInd w:val="0"/>
        <w:snapToGrid w:val="0"/>
        <w:spacing w:line="320" w:lineRule="exact"/>
        <w:ind w:firstLine="420"/>
        <w:rPr>
          <w:rFonts w:ascii="方正仿宋_GBK" w:eastAsia="方正仿宋_GBK"/>
          <w:szCs w:val="21"/>
        </w:rPr>
      </w:pPr>
      <w:r>
        <w:rPr>
          <w:rFonts w:hint="eastAsia" w:ascii="方正仿宋_GBK" w:eastAsia="方正仿宋_GBK" w:hAnsiTheme="minorEastAsia"/>
          <w:szCs w:val="21"/>
        </w:rPr>
        <w:t>下列文件对于本文件的应用是必不可少的。凡是注日期的引用文件，仅所注日期的版本适用于本文件。凡是不注日期的引用文件，其最新版本（包括所有的修改单）适用于本文件。</w:t>
      </w:r>
    </w:p>
    <w:p>
      <w:pPr>
        <w:pStyle w:val="160"/>
        <w:adjustRightInd w:val="0"/>
        <w:snapToGrid w:val="0"/>
        <w:spacing w:line="320" w:lineRule="exact"/>
        <w:rPr>
          <w:rFonts w:ascii="方正仿宋_GBK" w:hAnsi="Times New Roman" w:eastAsia="方正仿宋_GBK"/>
          <w:szCs w:val="21"/>
        </w:rPr>
      </w:pP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GB/T 699-2015  优质碳素结构钢</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GB/T 700-2006） 碳素结构钢</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GB/T 1591-2018  低合金高强度结构钢</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7000.203-2013  灯具</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GB/T 8923-2011  涂覆涂料前钢材表面处理</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GB/T 13912-2002  热镀锌标准</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GB/T 19653-2005  霓虹灯安装规范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50005-2017  木结构设计标准</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50007-2011  建筑地基基础设计规范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50017-2017  钢结构设计标准</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50034-2013  建筑照明设计标准</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50054-2011  低压配电设计规范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 xml:space="preserve">GB 50169-2006  </w:t>
      </w:r>
      <w:r>
        <w:rPr>
          <w:rFonts w:hint="eastAsia" w:ascii="方正仿宋_GBK" w:hAnsi="Times New Roman" w:eastAsia="方正仿宋_GBK"/>
          <w:spacing w:val="4"/>
          <w:szCs w:val="21"/>
        </w:rPr>
        <w:t>电气装置安装工程接地装置施工及验收规范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50202-2018  建筑地基基础工程施工质量验收规范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50203-2011  砌体结构工程施工质量验收规范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50204-2015  混凝土结构工程施工质量验收规范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50205-2001  钢结构结构施工质量验收规范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50289-2016  城市工程管线综合规划规范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50303-2015  建筑电气工程施工质量验收规范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GB 50449-2008  城市容貌标准</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JGJ 16-2016  民用建筑电气设计规范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JGJ 80-2016  建筑施工高处作业安全技术规范</w:t>
      </w:r>
    </w:p>
    <w:p>
      <w:pPr>
        <w:pStyle w:val="160"/>
        <w:adjustRightInd w:val="0"/>
        <w:snapToGrid w:val="0"/>
        <w:spacing w:line="320" w:lineRule="exact"/>
        <w:rPr>
          <w:rFonts w:ascii="方正仿宋_GBK" w:hAnsi="Times New Roman" w:eastAsia="方正仿宋_GBK"/>
          <w:szCs w:val="21"/>
        </w:rPr>
      </w:pPr>
      <w:r>
        <w:rPr>
          <w:rFonts w:hint="eastAsia" w:ascii="方正仿宋_GBK" w:hAnsi="Times New Roman" w:eastAsia="方正仿宋_GBK"/>
          <w:szCs w:val="21"/>
        </w:rPr>
        <w:t>JGJ 145-2004  混凝土结构后锚固技术规程</w:t>
      </w:r>
    </w:p>
    <w:p>
      <w:pPr>
        <w:pStyle w:val="160"/>
        <w:adjustRightInd w:val="0"/>
        <w:snapToGrid w:val="0"/>
        <w:spacing w:line="320" w:lineRule="exact"/>
        <w:rPr>
          <w:rFonts w:ascii="方正仿宋_GBK" w:eastAsia="方正仿宋_GBK" w:hAnsiTheme="minorEastAsia"/>
          <w:szCs w:val="21"/>
        </w:rPr>
      </w:pPr>
      <w:r>
        <w:rPr>
          <w:rFonts w:hint="eastAsia" w:ascii="方正仿宋_GBK" w:hAnsi="Times New Roman" w:eastAsia="方正仿宋_GBK"/>
          <w:szCs w:val="21"/>
        </w:rPr>
        <w:t>JGJ/T163-2008  城市夜景照明设计规范</w:t>
      </w:r>
    </w:p>
    <w:p>
      <w:pPr>
        <w:pStyle w:val="160"/>
        <w:adjustRightInd w:val="0"/>
        <w:snapToGrid w:val="0"/>
        <w:spacing w:line="320" w:lineRule="exact"/>
        <w:ind w:firstLine="0" w:firstLineChars="0"/>
        <w:rPr>
          <w:rFonts w:ascii="Times New Roman" w:hAnsi="Times New Roman" w:eastAsiaTheme="minorEastAsia"/>
          <w:szCs w:val="21"/>
        </w:rPr>
      </w:pPr>
      <w:r>
        <w:rPr>
          <w:rFonts w:ascii="Times New Roman" w:hAnsi="Times New Roman" w:eastAsiaTheme="minorEastAsia"/>
          <w:szCs w:val="21"/>
        </w:rPr>
        <w:br w:type="page"/>
      </w:r>
      <w:bookmarkStart w:id="61" w:name="_Toc26964917"/>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r>
        <w:rPr>
          <w:rFonts w:ascii="Times New Roman" w:hAnsi="Times New Roman" w:eastAsia="宋体"/>
          <w:sz w:val="30"/>
          <w:szCs w:val="30"/>
        </w:rPr>
        <w:t>3  术  语</w:t>
      </w:r>
      <w:bookmarkEnd w:id="61"/>
    </w:p>
    <w:p>
      <w:pPr>
        <w:tabs>
          <w:tab w:val="center" w:pos="4201"/>
          <w:tab w:val="right" w:leader="dot" w:pos="9298"/>
        </w:tabs>
        <w:autoSpaceDE w:val="0"/>
        <w:autoSpaceDN w:val="0"/>
        <w:adjustRightInd w:val="0"/>
        <w:snapToGrid w:val="0"/>
        <w:spacing w:line="320" w:lineRule="exact"/>
        <w:rPr>
          <w:rFonts w:ascii="方正仿宋_GBK" w:eastAsia="方正仿宋_GBK" w:hAnsiTheme="minorEastAsia"/>
          <w:color w:val="auto"/>
          <w:kern w:val="0"/>
          <w:szCs w:val="21"/>
        </w:rPr>
      </w:pPr>
    </w:p>
    <w:p>
      <w:pPr>
        <w:tabs>
          <w:tab w:val="center" w:pos="4201"/>
          <w:tab w:val="right" w:leader="dot" w:pos="9298"/>
        </w:tabs>
        <w:autoSpaceDE w:val="0"/>
        <w:autoSpaceDN w:val="0"/>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下列术语和定义仅适用于本规范</w:t>
      </w:r>
    </w:p>
    <w:p>
      <w:pPr>
        <w:adjustRightInd w:val="0"/>
        <w:snapToGrid w:val="0"/>
        <w:spacing w:line="320" w:lineRule="exact"/>
        <w:rPr>
          <w:rFonts w:ascii="方正仿宋_GBK" w:eastAsia="方正仿宋_GBK" w:hAnsiTheme="minorEastAsia"/>
          <w:color w:val="auto"/>
          <w:kern w:val="0"/>
          <w:sz w:val="21"/>
          <w:szCs w:val="21"/>
        </w:rPr>
      </w:pPr>
    </w:p>
    <w:p>
      <w:pPr>
        <w:pStyle w:val="107"/>
        <w:widowControl w:val="0"/>
        <w:numPr>
          <w:ilvl w:val="0"/>
          <w:numId w:val="4"/>
        </w:numPr>
        <w:adjustRightInd w:val="0"/>
        <w:snapToGrid w:val="0"/>
        <w:spacing w:beforeLines="0" w:afterLines="0" w:line="320" w:lineRule="exact"/>
        <w:ind w:left="0" w:firstLine="0"/>
        <w:outlineLvl w:val="9"/>
        <w:rPr>
          <w:rFonts w:ascii="方正仿宋_GBK" w:eastAsia="方正仿宋_GBK"/>
          <w:szCs w:val="21"/>
        </w:rPr>
      </w:pPr>
      <w:r>
        <w:rPr>
          <w:rFonts w:hint="eastAsia" w:ascii="方正仿宋_GBK" w:eastAsia="方正仿宋_GBK"/>
          <w:szCs w:val="21"/>
        </w:rPr>
        <w:t xml:space="preserve"> </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户外招牌</w:t>
      </w:r>
    </w:p>
    <w:p>
      <w:pPr>
        <w:tabs>
          <w:tab w:val="center" w:pos="4201"/>
          <w:tab w:val="right" w:leader="dot" w:pos="9298"/>
        </w:tabs>
        <w:autoSpaceDE w:val="0"/>
        <w:autoSpaceDN w:val="0"/>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机关、团体、企事业单位和其他组织及个体工商户，在拥有使用权的建（构）筑物外墙或建筑用地红线范围内设置的，用于表明单位名称、字号、标识或者建筑物名称的牌、匾等相关设施。</w:t>
      </w:r>
    </w:p>
    <w:p>
      <w:pPr>
        <w:pStyle w:val="107"/>
        <w:widowControl w:val="0"/>
        <w:numPr>
          <w:ilvl w:val="0"/>
          <w:numId w:val="4"/>
        </w:numPr>
        <w:adjustRightInd w:val="0"/>
        <w:snapToGrid w:val="0"/>
        <w:spacing w:beforeLines="0" w:afterLines="0" w:line="320" w:lineRule="exact"/>
        <w:ind w:left="0" w:firstLine="0"/>
        <w:outlineLvl w:val="9"/>
        <w:rPr>
          <w:rFonts w:ascii="方正仿宋_GBK" w:eastAsia="方正仿宋_GBK"/>
          <w:szCs w:val="21"/>
        </w:rPr>
      </w:pP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单位名称招牌</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指用于表明机关、团体、企事业单位和其他组织及个体工商户的名称、标志等的户外招牌。</w:t>
      </w:r>
    </w:p>
    <w:p>
      <w:pPr>
        <w:pStyle w:val="107"/>
        <w:widowControl w:val="0"/>
        <w:numPr>
          <w:ilvl w:val="0"/>
          <w:numId w:val="4"/>
        </w:numPr>
        <w:adjustRightInd w:val="0"/>
        <w:snapToGrid w:val="0"/>
        <w:spacing w:beforeLines="0" w:afterLines="0" w:line="320" w:lineRule="exact"/>
        <w:ind w:left="0" w:firstLine="0"/>
        <w:outlineLvl w:val="9"/>
        <w:rPr>
          <w:rFonts w:ascii="方正仿宋_GBK" w:eastAsia="方正仿宋_GBK"/>
          <w:szCs w:val="21"/>
        </w:rPr>
      </w:pP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建筑物名称招牌</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用于表明各类建筑物（含楼、大厦、公寓、广场等）名称的户外招牌。</w:t>
      </w:r>
    </w:p>
    <w:p>
      <w:pPr>
        <w:pStyle w:val="107"/>
        <w:widowControl w:val="0"/>
        <w:numPr>
          <w:ilvl w:val="0"/>
          <w:numId w:val="4"/>
        </w:numPr>
        <w:adjustRightInd w:val="0"/>
        <w:snapToGrid w:val="0"/>
        <w:spacing w:beforeLines="0" w:afterLines="0" w:line="320" w:lineRule="exact"/>
        <w:ind w:left="0" w:firstLine="0"/>
        <w:outlineLvl w:val="9"/>
        <w:rPr>
          <w:rFonts w:ascii="方正仿宋_GBK" w:eastAsia="方正仿宋_GBK"/>
          <w:szCs w:val="21"/>
        </w:rPr>
      </w:pP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附属型招牌</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依附于建筑物外墙、围墙等建（构）筑物表面设置的户外招牌。附属型招牌一般有平行外墙式、垂直外墙式、雨篷式等形式。</w:t>
      </w:r>
    </w:p>
    <w:p>
      <w:pPr>
        <w:pStyle w:val="107"/>
        <w:widowControl w:val="0"/>
        <w:numPr>
          <w:ilvl w:val="0"/>
          <w:numId w:val="4"/>
        </w:numPr>
        <w:adjustRightInd w:val="0"/>
        <w:snapToGrid w:val="0"/>
        <w:spacing w:beforeLines="0" w:afterLines="0" w:line="320" w:lineRule="exact"/>
        <w:ind w:left="0" w:firstLine="0"/>
        <w:outlineLvl w:val="9"/>
        <w:rPr>
          <w:rFonts w:ascii="方正仿宋_GBK" w:eastAsia="方正仿宋_GBK"/>
          <w:szCs w:val="21"/>
        </w:rPr>
      </w:pP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独立型招牌</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直接设置在地面上，具有独立支撑结构的户外招牌，包括横式、竖式、围墙式、景观式等。</w:t>
      </w:r>
    </w:p>
    <w:p>
      <w:pPr>
        <w:widowControl/>
        <w:jc w:val="left"/>
        <w:rPr>
          <w:rFonts w:hAnsiTheme="minorEastAsia" w:eastAsiaTheme="minorEastAsia"/>
          <w:color w:val="auto"/>
          <w:kern w:val="0"/>
          <w:sz w:val="21"/>
          <w:szCs w:val="21"/>
        </w:rPr>
      </w:pPr>
      <w:bookmarkStart w:id="62" w:name="_Toc26964918"/>
      <w:r>
        <w:rPr>
          <w:rFonts w:hAnsiTheme="minorEastAsia" w:eastAsiaTheme="minorEastAsia"/>
          <w:color w:val="auto"/>
          <w:kern w:val="0"/>
          <w:sz w:val="21"/>
          <w:szCs w:val="21"/>
        </w:rPr>
        <w:br w:type="page"/>
      </w:r>
    </w:p>
    <w:p>
      <w:pPr>
        <w:pStyle w:val="4"/>
        <w:keepNext w:val="0"/>
        <w:keepLines w:val="0"/>
        <w:adjustRightInd w:val="0"/>
        <w:snapToGrid w:val="0"/>
        <w:spacing w:before="120" w:beforeLines="50" w:after="120" w:afterLines="50" w:line="320" w:lineRule="exact"/>
        <w:jc w:val="center"/>
        <w:rPr>
          <w:rFonts w:ascii="Times New Roman" w:eastAsiaTheme="minorEastAsia"/>
          <w:szCs w:val="21"/>
        </w:rPr>
      </w:pPr>
      <w:r>
        <w:rPr>
          <w:rFonts w:ascii="Times New Roman" w:hAnsi="Times New Roman" w:eastAsia="宋体"/>
          <w:sz w:val="30"/>
          <w:szCs w:val="30"/>
        </w:rPr>
        <w:t xml:space="preserve">4  </w:t>
      </w:r>
      <w:r>
        <w:rPr>
          <w:rFonts w:hint="eastAsia" w:ascii="Times New Roman" w:hAnsi="Times New Roman" w:eastAsia="宋体"/>
          <w:sz w:val="30"/>
          <w:szCs w:val="30"/>
        </w:rPr>
        <w:t>户外</w:t>
      </w:r>
      <w:r>
        <w:rPr>
          <w:rFonts w:ascii="Times New Roman" w:hAnsi="Times New Roman" w:eastAsia="宋体"/>
          <w:sz w:val="30"/>
          <w:szCs w:val="30"/>
        </w:rPr>
        <w:t>招牌分类</w:t>
      </w:r>
      <w:bookmarkEnd w:id="62"/>
    </w:p>
    <w:p>
      <w:pPr>
        <w:pStyle w:val="4"/>
        <w:keepNext w:val="0"/>
        <w:keepLines w:val="0"/>
        <w:adjustRightInd w:val="0"/>
        <w:snapToGrid w:val="0"/>
        <w:spacing w:before="120" w:beforeLines="50" w:after="120" w:afterLines="50" w:line="320" w:lineRule="exact"/>
        <w:jc w:val="center"/>
        <w:rPr>
          <w:rFonts w:ascii="Times New Roman" w:hAnsi="Times New Roman"/>
          <w:sz w:val="21"/>
          <w:szCs w:val="21"/>
        </w:rPr>
      </w:pP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 xml:space="preserve">4.1  </w:t>
      </w:r>
      <w:r>
        <w:rPr>
          <w:rFonts w:ascii="Times New Roman" w:hAnsi="Times New Roman"/>
          <w:b w:val="0"/>
          <w:sz w:val="21"/>
          <w:szCs w:val="21"/>
        </w:rPr>
        <w:t>附属型招牌</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4.1.1</w:t>
      </w:r>
      <w:r>
        <w:rPr>
          <w:rFonts w:hint="eastAsia" w:ascii="方正仿宋_GBK" w:eastAsia="方正仿宋_GBK"/>
          <w:b/>
          <w:color w:val="auto"/>
          <w:szCs w:val="21"/>
        </w:rPr>
        <w:t xml:space="preserve">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平行外墙式：镂空式、凸版式、箱体式、平板式、牌匾式、格栅式等，如图1所示。</w:t>
      </w:r>
    </w:p>
    <w:p>
      <w:pPr>
        <w:adjustRightInd w:val="0"/>
        <w:snapToGrid w:val="0"/>
        <w:spacing w:line="32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3594735" cy="1007745"/>
            <wp:effectExtent l="0" t="0" r="5715" b="1905"/>
            <wp:docPr id="2" name="图片 1" descr="平行外墙式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平行外墙式01"/>
                    <pic:cNvPicPr>
                      <a:picLocks noChangeAspect="true"/>
                    </pic:cNvPicPr>
                  </pic:nvPicPr>
                  <pic:blipFill>
                    <a:blip r:embed="rId8" cstate="print"/>
                    <a:stretch>
                      <a:fillRect/>
                    </a:stretch>
                  </pic:blipFill>
                  <pic:spPr>
                    <a:xfrm>
                      <a:off x="0" y="0"/>
                      <a:ext cx="3594735" cy="100774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 xml:space="preserve">镂空式       </w:t>
      </w:r>
      <w:r>
        <w:rPr>
          <w:rFonts w:hint="eastAsia" w:hAnsi="黑体" w:eastAsia="黑体"/>
          <w:bCs/>
          <w:color w:val="auto"/>
          <w:sz w:val="17"/>
          <w:szCs w:val="17"/>
        </w:rPr>
        <w:t xml:space="preserve">                </w:t>
      </w:r>
      <w:r>
        <w:rPr>
          <w:rFonts w:hAnsi="黑体" w:eastAsia="黑体"/>
          <w:bCs/>
          <w:color w:val="auto"/>
          <w:sz w:val="17"/>
          <w:szCs w:val="17"/>
        </w:rPr>
        <w:t xml:space="preserve">        凸版式</w:t>
      </w: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3698240" cy="1007745"/>
            <wp:effectExtent l="0" t="0" r="16510" b="1905"/>
            <wp:docPr id="3" name="图片 2" descr="平行外墙式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平行外墙式02"/>
                    <pic:cNvPicPr>
                      <a:picLocks noChangeAspect="true"/>
                    </pic:cNvPicPr>
                  </pic:nvPicPr>
                  <pic:blipFill>
                    <a:blip r:embed="rId9" cstate="print"/>
                    <a:stretch>
                      <a:fillRect/>
                    </a:stretch>
                  </pic:blipFill>
                  <pic:spPr>
                    <a:xfrm>
                      <a:off x="0" y="0"/>
                      <a:ext cx="3698240" cy="100774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箱体式                               平板式</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382010" cy="1007745"/>
            <wp:effectExtent l="0" t="0" r="8890" b="1905"/>
            <wp:docPr id="4" name="图片 3" descr="平行外墙式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descr="平行外墙式03"/>
                    <pic:cNvPicPr>
                      <a:picLocks noChangeAspect="true"/>
                    </pic:cNvPicPr>
                  </pic:nvPicPr>
                  <pic:blipFill>
                    <a:blip r:embed="rId10" cstate="print">
                      <a:extLst>
                        <a:ext uri="{28A0092B-C50C-407E-A947-70E740481C1C}">
                          <a14:useLocalDpi xmlns:a14="http://schemas.microsoft.com/office/drawing/2010/main" val="false"/>
                        </a:ext>
                      </a:extLst>
                    </a:blip>
                    <a:stretch>
                      <a:fillRect/>
                    </a:stretch>
                  </pic:blipFill>
                  <pic:spPr>
                    <a:xfrm>
                      <a:off x="0" y="0"/>
                      <a:ext cx="3382010" cy="100774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牌匾式                             格栅式</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1</w:t>
      </w:r>
      <w:r>
        <w:rPr>
          <w:rFonts w:hint="eastAsia" w:hAnsi="黑体" w:eastAsia="黑体"/>
          <w:bCs/>
          <w:color w:val="auto"/>
          <w:sz w:val="17"/>
          <w:szCs w:val="17"/>
        </w:rPr>
        <w:t xml:space="preserve">  </w:t>
      </w:r>
      <w:r>
        <w:rPr>
          <w:rFonts w:hAnsi="黑体" w:eastAsia="黑体"/>
          <w:bCs/>
          <w:color w:val="auto"/>
          <w:sz w:val="17"/>
          <w:szCs w:val="17"/>
        </w:rPr>
        <w:t>平行外墙式招牌</w:t>
      </w:r>
    </w:p>
    <w:p>
      <w:pPr>
        <w:adjustRightInd w:val="0"/>
        <w:snapToGrid w:val="0"/>
        <w:rPr>
          <w:rFonts w:ascii="方正仿宋_GBK" w:eastAsia="方正仿宋_GBK"/>
          <w:color w:val="auto"/>
          <w:szCs w:val="21"/>
        </w:rPr>
      </w:pPr>
      <w:r>
        <w:rPr>
          <w:rFonts w:hint="eastAsia" w:ascii="方正仿宋_GBK" w:eastAsia="方正仿宋_GBK"/>
          <w:b/>
          <w:color w:val="auto"/>
          <w:kern w:val="0"/>
          <w:sz w:val="21"/>
          <w:szCs w:val="21"/>
        </w:rPr>
        <w:t xml:space="preserve">4.1.2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垂直外墙式：小型侧招、刀匾等，如图2所示。</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2819400" cy="2038350"/>
            <wp:effectExtent l="0" t="0" r="0" b="0"/>
            <wp:docPr id="5" name="图片 4" descr="垂直外墙式招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descr="垂直外墙式招牌"/>
                    <pic:cNvPicPr>
                      <a:picLocks noChangeAspect="true"/>
                    </pic:cNvPicPr>
                  </pic:nvPicPr>
                  <pic:blipFill>
                    <a:blip r:embed="rId11" cstate="print">
                      <a:extLst>
                        <a:ext uri="{28A0092B-C50C-407E-A947-70E740481C1C}">
                          <a14:useLocalDpi xmlns:a14="http://schemas.microsoft.com/office/drawing/2010/main" val="false"/>
                        </a:ext>
                      </a:extLst>
                    </a:blip>
                    <a:stretch>
                      <a:fillRect/>
                    </a:stretch>
                  </pic:blipFill>
                  <pic:spPr>
                    <a:xfrm>
                      <a:off x="0" y="0"/>
                      <a:ext cx="2818130" cy="2037432"/>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小型侧招                                    刀匾</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2</w:t>
      </w:r>
      <w:r>
        <w:rPr>
          <w:rFonts w:hint="eastAsia" w:hAnsi="黑体" w:eastAsia="黑体"/>
          <w:bCs/>
          <w:color w:val="auto"/>
          <w:sz w:val="17"/>
          <w:szCs w:val="17"/>
        </w:rPr>
        <w:t xml:space="preserve">  </w:t>
      </w:r>
      <w:r>
        <w:rPr>
          <w:rFonts w:hAnsi="黑体" w:eastAsia="黑体"/>
          <w:bCs/>
          <w:color w:val="auto"/>
          <w:sz w:val="17"/>
          <w:szCs w:val="17"/>
        </w:rPr>
        <w:t>垂直外墙式招牌</w:t>
      </w:r>
    </w:p>
    <w:p>
      <w:pPr>
        <w:adjustRightInd w:val="0"/>
        <w:snapToGrid w:val="0"/>
        <w:spacing w:line="320" w:lineRule="exact"/>
        <w:rPr>
          <w:rFonts w:eastAsiaTheme="minorEastAsia"/>
          <w:color w:val="auto"/>
          <w:szCs w:val="21"/>
        </w:rPr>
      </w:pPr>
    </w:p>
    <w:p>
      <w:pPr>
        <w:adjustRightInd w:val="0"/>
        <w:snapToGrid w:val="0"/>
        <w:spacing w:line="320" w:lineRule="exact"/>
        <w:rPr>
          <w:rFonts w:ascii="方正仿宋_GBK" w:eastAsia="方正仿宋_GBK" w:hAnsiTheme="minorEastAsia"/>
          <w:color w:val="auto"/>
          <w:szCs w:val="21"/>
        </w:rPr>
      </w:pPr>
      <w:r>
        <w:rPr>
          <w:rFonts w:hint="eastAsia" w:ascii="方正仿宋_GBK" w:eastAsia="方正仿宋_GBK"/>
          <w:b/>
          <w:color w:val="auto"/>
          <w:kern w:val="0"/>
          <w:sz w:val="21"/>
          <w:szCs w:val="21"/>
        </w:rPr>
        <w:t xml:space="preserve">4.1.3  </w:t>
      </w:r>
      <w:r>
        <w:rPr>
          <w:rFonts w:hint="eastAsia" w:ascii="方正仿宋_GBK" w:eastAsia="方正仿宋_GBK" w:hAnsiTheme="minorEastAsia"/>
          <w:color w:val="auto"/>
          <w:kern w:val="0"/>
          <w:sz w:val="21"/>
          <w:szCs w:val="21"/>
        </w:rPr>
        <w:t>其他：雨篷式等，如图3所示。</w:t>
      </w:r>
    </w:p>
    <w:p>
      <w:pPr>
        <w:adjustRightInd w:val="0"/>
        <w:snapToGrid w:val="0"/>
        <w:spacing w:line="320" w:lineRule="exact"/>
        <w:rPr>
          <w:rFonts w:eastAsiaTheme="minorEastAsia"/>
          <w:color w:val="auto"/>
          <w:kern w:val="0"/>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1329690" cy="2160270"/>
            <wp:effectExtent l="0" t="0" r="3810" b="11430"/>
            <wp:docPr id="6" name="图片 5" descr="附属型招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descr="附属型招牌"/>
                    <pic:cNvPicPr>
                      <a:picLocks noChangeAspect="true"/>
                    </pic:cNvPicPr>
                  </pic:nvPicPr>
                  <pic:blipFill>
                    <a:blip r:embed="rId12" cstate="print"/>
                    <a:srcRect l="76384"/>
                    <a:stretch>
                      <a:fillRect/>
                    </a:stretch>
                  </pic:blipFill>
                  <pic:spPr>
                    <a:xfrm>
                      <a:off x="0" y="0"/>
                      <a:ext cx="1329690" cy="2160270"/>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图3 雨棚式招牌</w:t>
      </w: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 xml:space="preserve">4.2  </w:t>
      </w:r>
      <w:r>
        <w:rPr>
          <w:rFonts w:ascii="Times New Roman" w:hAnsi="Times New Roman"/>
          <w:b w:val="0"/>
          <w:sz w:val="21"/>
          <w:szCs w:val="21"/>
        </w:rPr>
        <w:t>独立型招牌</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独立型招牌有：横式、竖式、围墙式、景观式等，如图4所示。</w:t>
      </w:r>
    </w:p>
    <w:p>
      <w:pPr>
        <w:adjustRightInd w:val="0"/>
        <w:snapToGrid w:val="0"/>
        <w:spacing w:line="32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388360" cy="1614170"/>
            <wp:effectExtent l="0" t="0" r="2540" b="5080"/>
            <wp:docPr id="7" name="图片 6" descr="独立式招牌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descr="独立式招牌示意图"/>
                    <pic:cNvPicPr>
                      <a:picLocks noChangeAspect="true"/>
                    </pic:cNvPicPr>
                  </pic:nvPicPr>
                  <pic:blipFill>
                    <a:blip r:embed="rId13" cstate="print">
                      <a:extLst>
                        <a:ext uri="{28A0092B-C50C-407E-A947-70E740481C1C}">
                          <a14:useLocalDpi xmlns:a14="http://schemas.microsoft.com/office/drawing/2010/main" val="false"/>
                        </a:ext>
                      </a:extLst>
                    </a:blip>
                    <a:srcRect t="79974" r="64192" b="3139"/>
                    <a:stretch>
                      <a:fillRect/>
                    </a:stretch>
                  </pic:blipFill>
                  <pic:spPr>
                    <a:xfrm>
                      <a:off x="0" y="0"/>
                      <a:ext cx="3388360" cy="1614170"/>
                    </a:xfrm>
                    <a:prstGeom prst="rect">
                      <a:avLst/>
                    </a:prstGeom>
                    <a:noFill/>
                    <a:ln>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 xml:space="preserve"> 竖式     </w:t>
      </w:r>
      <w:r>
        <w:rPr>
          <w:rFonts w:hint="eastAsia" w:hAnsi="黑体" w:eastAsia="黑体"/>
          <w:bCs/>
          <w:color w:val="auto"/>
          <w:sz w:val="17"/>
          <w:szCs w:val="17"/>
        </w:rPr>
        <w:t xml:space="preserve">      </w:t>
      </w:r>
      <w:r>
        <w:rPr>
          <w:rFonts w:hAnsi="黑体" w:eastAsia="黑体"/>
          <w:bCs/>
          <w:color w:val="auto"/>
          <w:sz w:val="17"/>
          <w:szCs w:val="17"/>
        </w:rPr>
        <w:t xml:space="preserve">                  横式</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790950" cy="1007745"/>
            <wp:effectExtent l="0" t="0" r="0" b="190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cstate="print">
                      <a:extLst>
                        <a:ext uri="{28A0092B-C50C-407E-A947-70E740481C1C}">
                          <a14:useLocalDpi xmlns:a14="http://schemas.microsoft.com/office/drawing/2010/main" val="false"/>
                        </a:ext>
                      </a:extLst>
                    </a:blip>
                    <a:srcRect t="33482" b="33275"/>
                    <a:stretch>
                      <a:fillRect/>
                    </a:stretch>
                  </pic:blipFill>
                  <pic:spPr>
                    <a:xfrm>
                      <a:off x="0" y="0"/>
                      <a:ext cx="3790950" cy="1007745"/>
                    </a:xfrm>
                    <a:prstGeom prst="rect">
                      <a:avLst/>
                    </a:prstGeom>
                    <a:ln>
                      <a:noFill/>
                    </a:ln>
                  </pic:spPr>
                </pic:pic>
              </a:graphicData>
            </a:graphic>
          </wp:inline>
        </w:drawing>
      </w:r>
    </w:p>
    <w:p>
      <w:pPr>
        <w:adjustRightInd w:val="0"/>
        <w:snapToGrid w:val="0"/>
        <w:spacing w:after="48" w:afterLines="20" w:line="320" w:lineRule="exact"/>
        <w:ind w:firstLine="1360" w:firstLineChars="800"/>
        <w:rPr>
          <w:rFonts w:hAnsi="黑体" w:eastAsia="黑体"/>
          <w:bCs/>
          <w:color w:val="auto"/>
          <w:sz w:val="17"/>
          <w:szCs w:val="17"/>
        </w:rPr>
      </w:pPr>
      <w:r>
        <w:rPr>
          <w:rFonts w:hAnsi="黑体" w:eastAsia="黑体"/>
          <w:bCs/>
          <w:color w:val="auto"/>
          <w:sz w:val="17"/>
          <w:szCs w:val="17"/>
        </w:rPr>
        <w:t xml:space="preserve">围墙式     </w:t>
      </w:r>
      <w:r>
        <w:rPr>
          <w:rFonts w:hint="eastAsia" w:hAnsi="黑体" w:eastAsia="黑体"/>
          <w:bCs/>
          <w:color w:val="auto"/>
          <w:sz w:val="17"/>
          <w:szCs w:val="17"/>
        </w:rPr>
        <w:t xml:space="preserve">   </w:t>
      </w:r>
      <w:r>
        <w:rPr>
          <w:rFonts w:hAnsi="黑体" w:eastAsia="黑体"/>
          <w:bCs/>
          <w:color w:val="auto"/>
          <w:sz w:val="17"/>
          <w:szCs w:val="17"/>
        </w:rPr>
        <w:t xml:space="preserve">            </w:t>
      </w:r>
      <w:r>
        <w:rPr>
          <w:rFonts w:hint="eastAsia" w:hAnsi="黑体" w:eastAsia="黑体"/>
          <w:bCs/>
          <w:color w:val="auto"/>
          <w:sz w:val="17"/>
          <w:szCs w:val="17"/>
        </w:rPr>
        <w:t xml:space="preserve">      </w:t>
      </w:r>
      <w:r>
        <w:rPr>
          <w:rFonts w:hAnsi="黑体" w:eastAsia="黑体"/>
          <w:bCs/>
          <w:color w:val="auto"/>
          <w:sz w:val="17"/>
          <w:szCs w:val="17"/>
        </w:rPr>
        <w:t xml:space="preserve"> 景观式</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4</w:t>
      </w:r>
      <w:r>
        <w:rPr>
          <w:rFonts w:hAnsi="黑体" w:eastAsia="黑体"/>
          <w:bCs/>
          <w:color w:val="auto"/>
          <w:sz w:val="17"/>
          <w:szCs w:val="17"/>
        </w:rPr>
        <w:t xml:space="preserve"> </w:t>
      </w:r>
      <w:r>
        <w:rPr>
          <w:rFonts w:hint="eastAsia" w:hAnsi="黑体" w:eastAsia="黑体"/>
          <w:bCs/>
          <w:color w:val="auto"/>
          <w:sz w:val="17"/>
          <w:szCs w:val="17"/>
        </w:rPr>
        <w:t xml:space="preserve"> </w:t>
      </w:r>
      <w:r>
        <w:rPr>
          <w:rFonts w:hAnsi="黑体" w:eastAsia="黑体"/>
          <w:bCs/>
          <w:color w:val="auto"/>
          <w:sz w:val="17"/>
          <w:szCs w:val="17"/>
        </w:rPr>
        <w:t>独立型招牌</w:t>
      </w:r>
    </w:p>
    <w:p>
      <w:pPr>
        <w:widowControl/>
        <w:jc w:val="left"/>
        <w:rPr>
          <w:rFonts w:eastAsiaTheme="minorEastAsia"/>
          <w:color w:val="auto"/>
          <w:szCs w:val="21"/>
        </w:rPr>
      </w:pPr>
      <w:bookmarkStart w:id="63" w:name="_Toc6397986"/>
      <w:bookmarkStart w:id="64" w:name="_Toc26964919"/>
      <w:r>
        <w:rPr>
          <w:rFonts w:eastAsiaTheme="minorEastAsia"/>
          <w:color w:val="auto"/>
          <w:szCs w:val="21"/>
        </w:rPr>
        <w:br w:type="page"/>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r>
        <w:rPr>
          <w:rFonts w:ascii="Times New Roman" w:hAnsi="Times New Roman" w:eastAsia="宋体"/>
          <w:sz w:val="30"/>
          <w:szCs w:val="30"/>
        </w:rPr>
        <w:t>5  通用设置</w:t>
      </w:r>
      <w:bookmarkEnd w:id="63"/>
      <w:bookmarkEnd w:id="64"/>
    </w:p>
    <w:p>
      <w:pPr>
        <w:pStyle w:val="107"/>
        <w:widowControl w:val="0"/>
        <w:adjustRightInd w:val="0"/>
        <w:snapToGrid w:val="0"/>
        <w:spacing w:beforeLines="0" w:afterLines="0" w:line="320" w:lineRule="exact"/>
        <w:outlineLvl w:val="9"/>
        <w:rPr>
          <w:rFonts w:ascii="Times New Roman" w:eastAsiaTheme="minorEastAsia"/>
          <w:szCs w:val="21"/>
        </w:rPr>
      </w:pPr>
    </w:p>
    <w:p>
      <w:pPr>
        <w:pStyle w:val="4"/>
        <w:keepNext w:val="0"/>
        <w:keepLines w:val="0"/>
        <w:adjustRightInd w:val="0"/>
        <w:snapToGrid w:val="0"/>
        <w:spacing w:before="120" w:beforeLines="50" w:after="120" w:afterLines="50" w:line="320" w:lineRule="exact"/>
        <w:jc w:val="center"/>
        <w:rPr>
          <w:rFonts w:ascii="Times New Roman" w:hAnsi="Times New Roman"/>
          <w:sz w:val="21"/>
          <w:szCs w:val="21"/>
        </w:rPr>
      </w:pPr>
      <w:r>
        <w:rPr>
          <w:rFonts w:ascii="Times New Roman" w:hAnsi="Times New Roman"/>
          <w:sz w:val="21"/>
          <w:szCs w:val="21"/>
        </w:rPr>
        <w:t>5.1</w:t>
      </w:r>
      <w:r>
        <w:rPr>
          <w:rFonts w:hint="eastAsia" w:ascii="Times New Roman" w:hAnsi="Times New Roman"/>
          <w:sz w:val="21"/>
          <w:szCs w:val="21"/>
        </w:rPr>
        <w:t xml:space="preserve">  </w:t>
      </w:r>
      <w:r>
        <w:rPr>
          <w:rFonts w:ascii="Times New Roman" w:hAnsi="Times New Roman"/>
          <w:b w:val="0"/>
          <w:sz w:val="21"/>
          <w:szCs w:val="21"/>
        </w:rPr>
        <w:t>一般规定</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5.1.1</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设置户外招牌应符合《重庆市物业管理条例》、《重庆市市容环境卫生管理条例》等有关规定。</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5.1.2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户外招牌应安全、可靠，应定期进行维护、保养及安全检查。</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5.1.3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设置户外招牌应符合消防安全的要求，不得影响车辆、行人安全，不得妨碍安全疏散。</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5.1.4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在同一道路或同一街区相邻建筑物上的户外招牌，其形式、体量、色彩、景观照明效果等应当整体协调。同一个建筑立面上相邻招牌的大小、悬挂位置、出挑尺寸应当一致。</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5.1.7</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户外招牌文字应当符合国家和本市语言文字有关规定。</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5.1.8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提倡户外招牌产品标准化生产，鼓励新技术、新工艺、新材料的应用，并应符合节能与生态环保要求。</w:t>
      </w: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5.2</w:t>
      </w:r>
      <w:r>
        <w:rPr>
          <w:rFonts w:hint="eastAsia" w:ascii="Times New Roman" w:hAnsi="Times New Roman"/>
          <w:sz w:val="21"/>
          <w:szCs w:val="21"/>
        </w:rPr>
        <w:t xml:space="preserve">  </w:t>
      </w:r>
      <w:r>
        <w:rPr>
          <w:rFonts w:ascii="Times New Roman" w:hAnsi="Times New Roman"/>
          <w:b w:val="0"/>
          <w:sz w:val="21"/>
          <w:szCs w:val="21"/>
        </w:rPr>
        <w:t>设置范围</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5.2.1</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底层户外招牌应设置在所属单位经营服务场所的范围内，一般宜设置在出入口上方。</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5.2.2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一般区域内单位名称招牌应当在3层及以下建筑墙面上设置，在各类商业中心（街道）、专业市场等，可在6层及以下建筑墙面上设置。</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5.2.3</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附属于建筑物墙面的招牌，上沿不得超过建筑檐口</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5.2.4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下列范围内禁止设置户外招牌：</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1）</w:t>
      </w:r>
      <w:r>
        <w:rPr>
          <w:rFonts w:hint="eastAsia" w:ascii="方正仿宋_GBK" w:eastAsia="方正仿宋_GBK"/>
          <w:spacing w:val="6"/>
          <w:szCs w:val="21"/>
        </w:rPr>
        <w:t>建筑物楼顶及坡屋顶等有特殊建筑风格的建筑物檐口以上。</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2）</w:t>
      </w:r>
      <w:r>
        <w:rPr>
          <w:rFonts w:hint="eastAsia" w:ascii="方正仿宋_GBK" w:eastAsia="方正仿宋_GBK"/>
          <w:spacing w:val="6"/>
          <w:szCs w:val="21"/>
        </w:rPr>
        <w:t>在本单位自有或租赁的建（构）筑物及建筑用地范围以外</w:t>
      </w:r>
      <w:r>
        <w:rPr>
          <w:rFonts w:hint="eastAsia" w:ascii="方正仿宋_GBK" w:eastAsia="方正仿宋_GBK"/>
          <w:spacing w:val="4"/>
          <w:szCs w:val="21"/>
        </w:rPr>
        <w:t>。</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3）</w:t>
      </w:r>
      <w:r>
        <w:rPr>
          <w:rFonts w:hint="eastAsia" w:ascii="方正仿宋_GBK" w:eastAsia="方正仿宋_GBK"/>
          <w:szCs w:val="21"/>
        </w:rPr>
        <w:t>建（构）筑物的玻璃幕墙上（无结构型招牌除外）。</w:t>
      </w: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5.3</w:t>
      </w:r>
      <w:r>
        <w:rPr>
          <w:rFonts w:hint="eastAsia" w:ascii="Times New Roman" w:hAnsi="Times New Roman"/>
          <w:sz w:val="21"/>
          <w:szCs w:val="21"/>
        </w:rPr>
        <w:t xml:space="preserve">  </w:t>
      </w:r>
      <w:r>
        <w:rPr>
          <w:rFonts w:ascii="Times New Roman" w:hAnsi="Times New Roman"/>
          <w:b w:val="0"/>
          <w:sz w:val="21"/>
          <w:szCs w:val="21"/>
        </w:rPr>
        <w:t>户外招牌不得设置的情形</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5.3.1</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设置户外招牌不得使用音频、LED屏、液晶屏等设备。</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5.3.2 </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设置户外招牌不得影响居民正常生活，在住宅层面自身及对面的外墙面上不得设置动态照明形式的户外招牌。</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5.3.3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设置户外招牌不得有下列情形：</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1）</w:t>
      </w:r>
      <w:r>
        <w:rPr>
          <w:rFonts w:hint="eastAsia" w:ascii="方正仿宋_GBK" w:eastAsia="方正仿宋_GBK"/>
          <w:szCs w:val="21"/>
        </w:rPr>
        <w:t>破坏城市历史风貌特色，损害建筑物、街景的重要特征。</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2）</w:t>
      </w:r>
      <w:r>
        <w:rPr>
          <w:rFonts w:hint="eastAsia" w:ascii="方正仿宋_GBK" w:eastAsia="方正仿宋_GBK"/>
          <w:szCs w:val="21"/>
        </w:rPr>
        <w:t>破坏所依附载体的整体效果和使用功能。</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3）</w:t>
      </w:r>
      <w:r>
        <w:rPr>
          <w:rFonts w:hint="eastAsia" w:ascii="方正仿宋_GBK" w:eastAsia="方正仿宋_GBK"/>
          <w:szCs w:val="21"/>
        </w:rPr>
        <w:t>影响建筑物采光通风。</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4）</w:t>
      </w:r>
      <w:r>
        <w:rPr>
          <w:rFonts w:hint="eastAsia" w:ascii="方正仿宋_GBK" w:eastAsia="方正仿宋_GBK"/>
          <w:szCs w:val="21"/>
        </w:rPr>
        <w:t>利用危房设置或设置后危及建（构）筑物安全。</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5）</w:t>
      </w:r>
      <w:r>
        <w:rPr>
          <w:rFonts w:hint="eastAsia" w:ascii="方正仿宋_GBK" w:eastAsia="方正仿宋_GBK"/>
          <w:szCs w:val="21"/>
        </w:rPr>
        <w:t>损毁城市绿地。</w:t>
      </w:r>
    </w:p>
    <w:p>
      <w:pPr>
        <w:pStyle w:val="107"/>
        <w:widowControl w:val="0"/>
        <w:adjustRightInd w:val="0"/>
        <w:snapToGrid w:val="0"/>
        <w:spacing w:beforeLines="0" w:afterLines="0" w:line="320" w:lineRule="exact"/>
        <w:ind w:firstLine="421" w:firstLineChars="200"/>
        <w:outlineLvl w:val="9"/>
        <w:rPr>
          <w:rFonts w:ascii="方正仿宋_GBK" w:eastAsia="方正仿宋_GBK"/>
          <w:szCs w:val="21"/>
        </w:rPr>
      </w:pPr>
      <w:r>
        <w:rPr>
          <w:rFonts w:hint="eastAsia" w:ascii="方正仿宋_GBK" w:eastAsia="方正仿宋_GBK" w:hAnsiTheme="minorEastAsia"/>
          <w:b/>
        </w:rPr>
        <w:t>（</w:t>
      </w:r>
      <w:r>
        <w:rPr>
          <w:rFonts w:hint="eastAsia" w:ascii="方正仿宋_GBK" w:eastAsia="方正仿宋_GBK"/>
          <w:b/>
          <w:szCs w:val="21"/>
        </w:rPr>
        <w:t>6）</w:t>
      </w:r>
      <w:r>
        <w:rPr>
          <w:rFonts w:hint="eastAsia" w:ascii="方正仿宋_GBK" w:eastAsia="方正仿宋_GBK"/>
          <w:spacing w:val="6"/>
          <w:szCs w:val="21"/>
        </w:rPr>
        <w:t>出现与经营商品有关的经营品种、物品价格、联系方式等。</w:t>
      </w: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5.4</w:t>
      </w:r>
      <w:r>
        <w:rPr>
          <w:rFonts w:hint="eastAsia" w:ascii="Times New Roman" w:hAnsi="Times New Roman"/>
          <w:sz w:val="21"/>
          <w:szCs w:val="21"/>
        </w:rPr>
        <w:t xml:space="preserve">  </w:t>
      </w:r>
      <w:r>
        <w:rPr>
          <w:rFonts w:ascii="Times New Roman" w:hAnsi="Times New Roman"/>
          <w:b w:val="0"/>
          <w:sz w:val="21"/>
          <w:szCs w:val="21"/>
        </w:rPr>
        <w:t>设置数量</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5.4.1</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中小商铺设置单位名称招牌的数量宜符合“一店一招”的要求。</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5.4.2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底层有专用出入口的经营服务单位，平行外墙式招牌的数量不得超过出入口的个数和展示橱窗的个数；小型侧招式招牌数量不得超过所属经营服务单位的出入口数量。</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5.4.3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大型商厦、综合商务办公楼宇等设置的独立型招牌数量不宜超过所属建筑物主要出入口的个数。</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5.4.4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经营服务场所在建筑二层及以上时，多个单位名称招牌宜集中设置，每个经营服务单位招牌数量不应超过建筑主出入口的个数；单独设置时，数量不得超过1块。</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5.4.5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建筑物名称招牌在建筑物底层设置时，数量不得超过建筑物的出入口数量；在二层及以上设置时，不同方向的建筑墙面上的数量不得超过1块，总数不得超过2块。</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5.4.6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属于同一经营者的连续门面，可以在不同单元设置户外招牌。</w:t>
      </w: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5.5</w:t>
      </w:r>
      <w:r>
        <w:rPr>
          <w:rFonts w:hint="eastAsia" w:ascii="Times New Roman" w:hAnsi="Times New Roman"/>
          <w:sz w:val="21"/>
          <w:szCs w:val="21"/>
        </w:rPr>
        <w:t xml:space="preserve">  </w:t>
      </w:r>
      <w:r>
        <w:rPr>
          <w:rFonts w:ascii="Times New Roman" w:hAnsi="Times New Roman"/>
          <w:b w:val="0"/>
          <w:sz w:val="21"/>
          <w:szCs w:val="21"/>
        </w:rPr>
        <w:t>字</w:t>
      </w:r>
      <w:r>
        <w:rPr>
          <w:rFonts w:hint="eastAsia" w:ascii="Times New Roman" w:hAnsi="Times New Roman"/>
          <w:b w:val="0"/>
          <w:sz w:val="21"/>
          <w:szCs w:val="21"/>
        </w:rPr>
        <w:t xml:space="preserve">  </w:t>
      </w:r>
      <w:r>
        <w:rPr>
          <w:rFonts w:ascii="Times New Roman" w:hAnsi="Times New Roman"/>
          <w:b w:val="0"/>
          <w:sz w:val="21"/>
          <w:szCs w:val="21"/>
        </w:rPr>
        <w:t>符</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5.5.1</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户外招牌的字符尺寸宜与所在街道的空间尺度相对应。</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5.5.2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多层（6层及以下）建筑附属户外招牌字幅尺寸宜符合表1规定：</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表</w:t>
      </w:r>
      <w:r>
        <w:rPr>
          <w:rFonts w:hAnsi="黑体" w:eastAsia="黑体"/>
          <w:b/>
          <w:bCs/>
          <w:color w:val="auto"/>
          <w:sz w:val="17"/>
          <w:szCs w:val="17"/>
        </w:rPr>
        <w:t>1</w:t>
      </w:r>
      <w:r>
        <w:rPr>
          <w:rFonts w:hAnsi="黑体" w:eastAsia="黑体"/>
          <w:bCs/>
          <w:color w:val="auto"/>
          <w:sz w:val="17"/>
          <w:szCs w:val="17"/>
        </w:rPr>
        <w:t xml:space="preserve">  多层（6层及以下）建筑附属户外招牌字幅尺寸</w:t>
      </w:r>
    </w:p>
    <w:tbl>
      <w:tblPr>
        <w:tblStyle w:val="38"/>
        <w:tblW w:w="5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564"/>
        <w:gridCol w:w="3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7" w:type="dxa"/>
            <w:vAlign w:val="center"/>
          </w:tcPr>
          <w:p>
            <w:pPr>
              <w:pStyle w:val="156"/>
              <w:spacing w:line="0" w:lineRule="atLeast"/>
              <w:rPr>
                <w:rFonts w:hAnsi="黑体" w:eastAsia="黑体"/>
                <w:snapToGrid w:val="0"/>
                <w:sz w:val="15"/>
                <w:szCs w:val="15"/>
              </w:rPr>
            </w:pPr>
            <w:r>
              <w:rPr>
                <w:rFonts w:hAnsi="黑体" w:eastAsia="黑体"/>
                <w:snapToGrid w:val="0"/>
                <w:sz w:val="15"/>
                <w:szCs w:val="15"/>
              </w:rPr>
              <w:t>序号</w:t>
            </w:r>
          </w:p>
        </w:tc>
        <w:tc>
          <w:tcPr>
            <w:tcW w:w="1564" w:type="dxa"/>
            <w:vAlign w:val="center"/>
          </w:tcPr>
          <w:p>
            <w:pPr>
              <w:pStyle w:val="156"/>
              <w:spacing w:line="0" w:lineRule="atLeast"/>
              <w:rPr>
                <w:rFonts w:hAnsi="黑体" w:eastAsia="黑体"/>
                <w:snapToGrid w:val="0"/>
                <w:sz w:val="15"/>
                <w:szCs w:val="15"/>
              </w:rPr>
            </w:pPr>
            <w:r>
              <w:rPr>
                <w:rFonts w:hAnsi="黑体" w:eastAsia="黑体"/>
                <w:snapToGrid w:val="0"/>
                <w:sz w:val="15"/>
                <w:szCs w:val="15"/>
              </w:rPr>
              <w:t>视距B（m）</w:t>
            </w:r>
          </w:p>
        </w:tc>
        <w:tc>
          <w:tcPr>
            <w:tcW w:w="3476" w:type="dxa"/>
            <w:vAlign w:val="center"/>
          </w:tcPr>
          <w:p>
            <w:pPr>
              <w:pStyle w:val="156"/>
              <w:spacing w:line="0" w:lineRule="atLeast"/>
              <w:rPr>
                <w:rFonts w:hAnsi="黑体" w:eastAsia="黑体"/>
                <w:snapToGrid w:val="0"/>
                <w:sz w:val="15"/>
                <w:szCs w:val="15"/>
              </w:rPr>
            </w:pPr>
            <w:r>
              <w:rPr>
                <w:rFonts w:hAnsi="黑体" w:eastAsia="黑体"/>
                <w:snapToGrid w:val="0"/>
                <w:sz w:val="15"/>
                <w:szCs w:val="15"/>
              </w:rPr>
              <w:t>招牌字符最大边长L（m）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1</w:t>
            </w:r>
          </w:p>
        </w:tc>
        <w:tc>
          <w:tcPr>
            <w:tcW w:w="156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B≤16</w:t>
            </w:r>
          </w:p>
        </w:tc>
        <w:tc>
          <w:tcPr>
            <w:tcW w:w="347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2</w:t>
            </w:r>
          </w:p>
        </w:tc>
        <w:tc>
          <w:tcPr>
            <w:tcW w:w="156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16&lt;B≤24</w:t>
            </w:r>
          </w:p>
        </w:tc>
        <w:tc>
          <w:tcPr>
            <w:tcW w:w="347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3</w:t>
            </w:r>
          </w:p>
        </w:tc>
        <w:tc>
          <w:tcPr>
            <w:tcW w:w="156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24&lt;B≤40</w:t>
            </w:r>
          </w:p>
        </w:tc>
        <w:tc>
          <w:tcPr>
            <w:tcW w:w="347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4</w:t>
            </w:r>
          </w:p>
        </w:tc>
        <w:tc>
          <w:tcPr>
            <w:tcW w:w="156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40&lt;B</w:t>
            </w:r>
          </w:p>
        </w:tc>
        <w:tc>
          <w:tcPr>
            <w:tcW w:w="347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L≤0.8</w:t>
            </w:r>
          </w:p>
        </w:tc>
      </w:tr>
    </w:tbl>
    <w:p>
      <w:pPr>
        <w:adjustRightInd w:val="0"/>
        <w:snapToGrid w:val="0"/>
        <w:spacing w:line="320" w:lineRule="exact"/>
        <w:rPr>
          <w:rFonts w:eastAsiaTheme="minorEastAsia"/>
          <w:color w:val="auto"/>
          <w:szCs w:val="21"/>
        </w:rPr>
      </w:pP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5.5.3</w:t>
      </w:r>
      <w:r>
        <w:rPr>
          <w:rFonts w:hint="eastAsia" w:ascii="方正仿宋_GBK" w:eastAsia="方正仿宋_GBK" w:hAnsiTheme="minorEastAsia"/>
          <w:b/>
          <w:color w:val="auto"/>
          <w:szCs w:val="21"/>
        </w:rPr>
        <w:t xml:space="preserve">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中、高层（6层以上）建筑物名称招牌字幅尺寸宜符合表2规定：</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表</w:t>
      </w:r>
      <w:r>
        <w:rPr>
          <w:rFonts w:hAnsi="黑体" w:eastAsia="黑体"/>
          <w:b/>
          <w:bCs/>
          <w:color w:val="auto"/>
          <w:sz w:val="17"/>
          <w:szCs w:val="17"/>
        </w:rPr>
        <w:t>2</w:t>
      </w:r>
      <w:r>
        <w:rPr>
          <w:rFonts w:hAnsi="黑体" w:eastAsia="黑体"/>
          <w:bCs/>
          <w:color w:val="auto"/>
          <w:sz w:val="17"/>
          <w:szCs w:val="17"/>
        </w:rPr>
        <w:t xml:space="preserve">  中、高层（6层以上）建筑物名称招牌字幅尺寸</w:t>
      </w:r>
    </w:p>
    <w:tbl>
      <w:tblPr>
        <w:tblStyle w:val="38"/>
        <w:tblW w:w="5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916"/>
        <w:gridCol w:w="31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7" w:type="dxa"/>
            <w:vAlign w:val="center"/>
          </w:tcPr>
          <w:p>
            <w:pPr>
              <w:pStyle w:val="156"/>
              <w:spacing w:line="0" w:lineRule="atLeast"/>
              <w:rPr>
                <w:rFonts w:hAnsi="黑体" w:eastAsia="黑体"/>
                <w:snapToGrid w:val="0"/>
                <w:sz w:val="15"/>
                <w:szCs w:val="15"/>
              </w:rPr>
            </w:pPr>
            <w:r>
              <w:rPr>
                <w:rFonts w:hAnsi="黑体" w:eastAsia="黑体"/>
                <w:snapToGrid w:val="0"/>
                <w:sz w:val="15"/>
                <w:szCs w:val="15"/>
              </w:rPr>
              <w:t>序号</w:t>
            </w:r>
          </w:p>
        </w:tc>
        <w:tc>
          <w:tcPr>
            <w:tcW w:w="1916" w:type="dxa"/>
            <w:vAlign w:val="center"/>
          </w:tcPr>
          <w:p>
            <w:pPr>
              <w:pStyle w:val="156"/>
              <w:spacing w:line="0" w:lineRule="atLeast"/>
              <w:rPr>
                <w:rFonts w:hAnsi="黑体" w:eastAsia="黑体"/>
                <w:snapToGrid w:val="0"/>
                <w:sz w:val="15"/>
                <w:szCs w:val="15"/>
              </w:rPr>
            </w:pPr>
            <w:r>
              <w:rPr>
                <w:rFonts w:hAnsi="黑体" w:eastAsia="黑体"/>
                <w:snapToGrid w:val="0"/>
                <w:sz w:val="15"/>
                <w:szCs w:val="15"/>
              </w:rPr>
              <w:t>建筑高度H（m）</w:t>
            </w:r>
          </w:p>
        </w:tc>
        <w:tc>
          <w:tcPr>
            <w:tcW w:w="3194" w:type="dxa"/>
            <w:vAlign w:val="center"/>
          </w:tcPr>
          <w:p>
            <w:pPr>
              <w:pStyle w:val="156"/>
              <w:spacing w:line="0" w:lineRule="atLeast"/>
              <w:rPr>
                <w:rFonts w:hAnsi="黑体" w:eastAsia="黑体"/>
                <w:snapToGrid w:val="0"/>
                <w:sz w:val="15"/>
                <w:szCs w:val="15"/>
              </w:rPr>
            </w:pPr>
            <w:r>
              <w:rPr>
                <w:rFonts w:hAnsi="黑体" w:eastAsia="黑体"/>
                <w:snapToGrid w:val="0"/>
                <w:sz w:val="15"/>
                <w:szCs w:val="15"/>
              </w:rPr>
              <w:t>招牌字符最大边长L（m）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1</w:t>
            </w:r>
          </w:p>
        </w:tc>
        <w:tc>
          <w:tcPr>
            <w:tcW w:w="191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18&lt;H≤54</w:t>
            </w:r>
          </w:p>
        </w:tc>
        <w:tc>
          <w:tcPr>
            <w:tcW w:w="319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2</w:t>
            </w:r>
          </w:p>
        </w:tc>
        <w:tc>
          <w:tcPr>
            <w:tcW w:w="191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54&lt;H≤100</w:t>
            </w:r>
          </w:p>
        </w:tc>
        <w:tc>
          <w:tcPr>
            <w:tcW w:w="319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87"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3</w:t>
            </w:r>
          </w:p>
        </w:tc>
        <w:tc>
          <w:tcPr>
            <w:tcW w:w="1916"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100&lt;H</w:t>
            </w:r>
          </w:p>
        </w:tc>
        <w:tc>
          <w:tcPr>
            <w:tcW w:w="3194"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L≤6</w:t>
            </w:r>
          </w:p>
        </w:tc>
      </w:tr>
    </w:tbl>
    <w:p>
      <w:pPr>
        <w:pStyle w:val="4"/>
        <w:keepNext w:val="0"/>
        <w:keepLines w:val="0"/>
        <w:adjustRightInd w:val="0"/>
        <w:snapToGrid w:val="0"/>
        <w:spacing w:before="120" w:beforeLines="50" w:after="120" w:afterLines="50" w:line="320" w:lineRule="exact"/>
        <w:jc w:val="center"/>
        <w:rPr>
          <w:rFonts w:ascii="Times New Roman" w:hAnsi="Times New Roman"/>
          <w:sz w:val="21"/>
          <w:szCs w:val="21"/>
        </w:rPr>
      </w:pPr>
      <w:r>
        <w:rPr>
          <w:rFonts w:ascii="Times New Roman" w:hAnsi="Times New Roman"/>
          <w:sz w:val="21"/>
          <w:szCs w:val="21"/>
        </w:rPr>
        <w:t>5.</w:t>
      </w:r>
      <w:r>
        <w:rPr>
          <w:rFonts w:hint="eastAsia" w:ascii="Times New Roman" w:hAnsi="Times New Roman"/>
          <w:sz w:val="21"/>
          <w:szCs w:val="21"/>
        </w:rPr>
        <w:t xml:space="preserve">6  </w:t>
      </w:r>
      <w:r>
        <w:rPr>
          <w:rFonts w:ascii="Times New Roman" w:hAnsi="Times New Roman"/>
          <w:b w:val="0"/>
          <w:sz w:val="21"/>
          <w:szCs w:val="21"/>
        </w:rPr>
        <w:t>照</w:t>
      </w:r>
      <w:r>
        <w:rPr>
          <w:rFonts w:hint="eastAsia" w:ascii="Times New Roman" w:hAnsi="Times New Roman"/>
          <w:b w:val="0"/>
          <w:sz w:val="21"/>
          <w:szCs w:val="21"/>
        </w:rPr>
        <w:t xml:space="preserve">  </w:t>
      </w:r>
      <w:r>
        <w:rPr>
          <w:rFonts w:ascii="Times New Roman" w:hAnsi="Times New Roman"/>
          <w:b w:val="0"/>
          <w:sz w:val="21"/>
          <w:szCs w:val="21"/>
        </w:rPr>
        <w:t>明</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5.6.1</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招牌照明的光源形式、色彩、光照强度应符合相关规程规范的规定。</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5.6.2</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采用泛光照明等外置光源形式的户外招牌，其直接照射范围应控制在户外招牌的范围内。</w:t>
      </w:r>
    </w:p>
    <w:p>
      <w:pPr>
        <w:adjustRightInd w:val="0"/>
        <w:snapToGrid w:val="0"/>
        <w:spacing w:line="320" w:lineRule="exact"/>
        <w:rPr>
          <w:rFonts w:hAnsiTheme="minorEastAsia" w:eastAsiaTheme="minorEastAsia"/>
          <w:color w:val="auto"/>
          <w:szCs w:val="21"/>
        </w:rPr>
      </w:pPr>
      <w:r>
        <w:rPr>
          <w:rFonts w:hint="eastAsia" w:ascii="方正仿宋_GBK" w:eastAsia="方正仿宋_GBK"/>
          <w:b/>
          <w:color w:val="auto"/>
          <w:kern w:val="0"/>
          <w:sz w:val="21"/>
          <w:szCs w:val="21"/>
        </w:rPr>
        <w:t xml:space="preserve">5.6.3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在保证光照强度和均匀度的情况下，提倡采用节能的设计及高光效的节能材料和产品。</w:t>
      </w:r>
      <w:r>
        <w:rPr>
          <w:rFonts w:hAnsiTheme="minorEastAsia" w:eastAsiaTheme="minorEastAsia"/>
          <w:color w:val="auto"/>
          <w:szCs w:val="21"/>
        </w:rPr>
        <w:br w:type="page"/>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bookmarkStart w:id="65" w:name="_Toc26964920"/>
      <w:r>
        <w:rPr>
          <w:rFonts w:ascii="Times New Roman" w:hAnsi="Times New Roman" w:eastAsia="宋体"/>
          <w:sz w:val="30"/>
          <w:szCs w:val="30"/>
        </w:rPr>
        <w:t>6</w:t>
      </w:r>
      <w:r>
        <w:rPr>
          <w:rFonts w:hint="eastAsia" w:ascii="Times New Roman" w:hAnsi="Times New Roman" w:eastAsia="宋体"/>
          <w:sz w:val="30"/>
          <w:szCs w:val="30"/>
        </w:rPr>
        <w:t xml:space="preserve">  </w:t>
      </w:r>
      <w:r>
        <w:rPr>
          <w:rFonts w:ascii="Times New Roman" w:hAnsi="Times New Roman" w:eastAsia="宋体"/>
          <w:sz w:val="30"/>
          <w:szCs w:val="30"/>
        </w:rPr>
        <w:t>分类设置</w:t>
      </w:r>
      <w:bookmarkEnd w:id="65"/>
    </w:p>
    <w:p>
      <w:pPr>
        <w:adjustRightInd w:val="0"/>
        <w:snapToGrid w:val="0"/>
        <w:spacing w:line="320" w:lineRule="exact"/>
        <w:rPr>
          <w:rFonts w:eastAsiaTheme="minorEastAsia"/>
          <w:color w:val="auto"/>
          <w:szCs w:val="21"/>
        </w:rPr>
      </w:pP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6.1</w:t>
      </w:r>
      <w:r>
        <w:rPr>
          <w:rFonts w:hint="eastAsia" w:ascii="Times New Roman" w:hAnsi="Times New Roman"/>
          <w:sz w:val="21"/>
          <w:szCs w:val="21"/>
        </w:rPr>
        <w:t xml:space="preserve">  </w:t>
      </w:r>
      <w:r>
        <w:rPr>
          <w:rFonts w:ascii="Times New Roman" w:hAnsi="Times New Roman"/>
          <w:b w:val="0"/>
          <w:sz w:val="21"/>
          <w:szCs w:val="21"/>
        </w:rPr>
        <w:t>附属型招牌</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6.1.1</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同一栋建筑立面上相邻招牌的类型、大小、悬挂位置、出挑尺寸应当整体协调。相邻店面的招牌应分别设置，招牌间距不宜小于0.3m，如图5所示。</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360420" cy="1418590"/>
            <wp:effectExtent l="19050" t="0" r="0" b="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t="-3714"/>
                    <a:stretch>
                      <a:fillRect/>
                    </a:stretch>
                  </pic:blipFill>
                  <pic:spPr>
                    <a:xfrm>
                      <a:off x="0" y="0"/>
                      <a:ext cx="3360843" cy="1418590"/>
                    </a:xfrm>
                    <a:prstGeom prst="rect">
                      <a:avLst/>
                    </a:prstGeom>
                    <a:noFill/>
                    <a:ln>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5 </w:t>
      </w:r>
      <w:r>
        <w:rPr>
          <w:rFonts w:hAnsi="黑体" w:eastAsia="黑体"/>
          <w:bCs/>
          <w:color w:val="auto"/>
          <w:sz w:val="17"/>
          <w:szCs w:val="17"/>
        </w:rPr>
        <w:t xml:space="preserve"> 相邻店面的招牌设置</w:t>
      </w:r>
    </w:p>
    <w:p>
      <w:pPr>
        <w:adjustRightInd w:val="0"/>
        <w:snapToGrid w:val="0"/>
        <w:spacing w:line="320" w:lineRule="exact"/>
        <w:rPr>
          <w:rFonts w:eastAsiaTheme="minorEastAsia"/>
          <w:b/>
          <w:color w:val="auto"/>
          <w:kern w:val="0"/>
          <w:sz w:val="21"/>
          <w:szCs w:val="21"/>
        </w:rPr>
      </w:pP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6.1.2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位于街道转角的建筑，户外招牌应整体设计，相邻招牌的形式、悬挂位置和高度应统一，如图6所示。</w:t>
      </w: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2832100" cy="1367790"/>
            <wp:effectExtent l="0" t="0" r="6350" b="3810"/>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6" cstate="print"/>
                    <a:srcRect l="2710" t="2797" r="2525" b="2827"/>
                    <a:stretch>
                      <a:fillRect/>
                    </a:stretch>
                  </pic:blipFill>
                  <pic:spPr>
                    <a:xfrm>
                      <a:off x="0" y="0"/>
                      <a:ext cx="2832100" cy="1367790"/>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6</w:t>
      </w:r>
      <w:r>
        <w:rPr>
          <w:rFonts w:hAnsi="黑体" w:eastAsia="黑体"/>
          <w:bCs/>
          <w:color w:val="auto"/>
          <w:sz w:val="17"/>
          <w:szCs w:val="17"/>
        </w:rPr>
        <w:t xml:space="preserve">  街道转角建筑的招牌设置</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6.1.3 </w:t>
      </w:r>
      <w:r>
        <w:rPr>
          <w:rFonts w:hint="eastAsia" w:ascii="方正仿宋_GBK" w:eastAsia="方正仿宋_GBK" w:hAnsiTheme="minorEastAsia"/>
          <w:color w:val="auto"/>
          <w:kern w:val="0"/>
          <w:sz w:val="21"/>
          <w:szCs w:val="21"/>
        </w:rPr>
        <w:t>无专用室外出入口的单位，底层以上单位的外墙式招牌宜在适当位置集中组合设置，也可以在本单位的外墙面窗沿以下楼板以上设置，但不得破坏建筑立面效果。</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6.1.4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户外招牌不宜与卷帘门、空调等其他设施整体设置。因场地限制必须整体设置时，宜采用雨蓬式或格栅式。格栅式招牌与卷帘门整体设置时，厚度不应大于0.8m，如图7所示。</w:t>
      </w: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1257935" cy="1384300"/>
            <wp:effectExtent l="0" t="0" r="18415" b="6350"/>
            <wp:docPr id="11" name="图片 10" descr="内含卷帘门的雨棚式招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0" descr="内含卷帘门的雨棚式招牌"/>
                    <pic:cNvPicPr>
                      <a:picLocks noChangeAspect="true"/>
                    </pic:cNvPicPr>
                  </pic:nvPicPr>
                  <pic:blipFill>
                    <a:blip r:embed="rId17" cstate="print"/>
                    <a:srcRect l="8772" r="10599"/>
                    <a:stretch>
                      <a:fillRect/>
                    </a:stretch>
                  </pic:blipFill>
                  <pic:spPr>
                    <a:xfrm>
                      <a:off x="0" y="0"/>
                      <a:ext cx="1257935" cy="1384300"/>
                    </a:xfrm>
                    <a:prstGeom prst="rect">
                      <a:avLst/>
                    </a:prstGeom>
                    <a:noFill/>
                    <a:ln>
                      <a:noFill/>
                    </a:ln>
                  </pic:spPr>
                </pic:pic>
              </a:graphicData>
            </a:graphic>
          </wp:inline>
        </w:drawing>
      </w:r>
      <w:r>
        <w:rPr>
          <w:rFonts w:eastAsiaTheme="minorEastAsia"/>
          <w:color w:val="auto"/>
          <w:szCs w:val="21"/>
        </w:rPr>
        <w:t xml:space="preserve">         </w:t>
      </w:r>
      <w:r>
        <w:rPr>
          <w:rFonts w:eastAsiaTheme="minorEastAsia"/>
          <w:color w:val="auto"/>
          <w:szCs w:val="21"/>
        </w:rPr>
        <w:drawing>
          <wp:inline distT="0" distB="0" distL="0" distR="0">
            <wp:extent cx="1566545" cy="1614170"/>
            <wp:effectExtent l="0" t="0" r="14605" b="508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1566545" cy="1614170"/>
                    </a:xfrm>
                    <a:prstGeom prst="rect">
                      <a:avLst/>
                    </a:prstGeom>
                    <a:noFill/>
                    <a:ln>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雨棚式                            格栅式</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7</w:t>
      </w:r>
      <w:r>
        <w:rPr>
          <w:rFonts w:hAnsi="黑体" w:eastAsia="黑体"/>
          <w:bCs/>
          <w:color w:val="auto"/>
          <w:sz w:val="17"/>
          <w:szCs w:val="17"/>
        </w:rPr>
        <w:t xml:space="preserve">  有卷帘门的格栅式招牌设置</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6.1.5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平行式招牌宜采用镂空形式。</w:t>
      </w:r>
    </w:p>
    <w:p>
      <w:pPr>
        <w:adjustRightInd w:val="0"/>
        <w:snapToGrid w:val="0"/>
        <w:spacing w:line="320" w:lineRule="exact"/>
        <w:rPr>
          <w:rFonts w:ascii="方正仿宋_GBK" w:eastAsia="方正仿宋_GBK" w:hAnsiTheme="minorEastAsia"/>
          <w:color w:val="auto"/>
          <w:szCs w:val="21"/>
        </w:rPr>
      </w:pPr>
      <w:r>
        <w:rPr>
          <w:rFonts w:hint="eastAsia" w:ascii="方正仿宋_GBK" w:eastAsia="方正仿宋_GBK"/>
          <w:b/>
          <w:color w:val="auto"/>
          <w:kern w:val="0"/>
          <w:sz w:val="21"/>
          <w:szCs w:val="21"/>
        </w:rPr>
        <w:t>6.1.6</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无内部照明的平行外墙式的户外招牌厚度不宜大于0.1m，采用内部照明的箱体厚度不宜大于0.3m，如图8所示。</w:t>
      </w:r>
    </w:p>
    <w:p>
      <w:pPr>
        <w:adjustRightInd w:val="0"/>
        <w:snapToGrid w:val="0"/>
        <w:spacing w:line="16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489325" cy="1614170"/>
            <wp:effectExtent l="0" t="0" r="15875" b="508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r="5240"/>
                    <a:stretch>
                      <a:fillRect/>
                    </a:stretch>
                  </pic:blipFill>
                  <pic:spPr>
                    <a:xfrm>
                      <a:off x="0" y="0"/>
                      <a:ext cx="3489325" cy="1614170"/>
                    </a:xfrm>
                    <a:prstGeom prst="rect">
                      <a:avLst/>
                    </a:prstGeom>
                    <a:noFill/>
                    <a:ln>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无内部照明式                  内部照明式</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8</w:t>
      </w:r>
      <w:r>
        <w:rPr>
          <w:rFonts w:hAnsi="黑体" w:eastAsia="黑体"/>
          <w:bCs/>
          <w:color w:val="auto"/>
          <w:sz w:val="17"/>
          <w:szCs w:val="17"/>
        </w:rPr>
        <w:t xml:space="preserve">  无内部照明和内部照明的平行外墙式招牌设置</w:t>
      </w: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6.1.7</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雨篷式招牌的设置应符合以下要求（见图9）：</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（1）不得影响窗户的正常开启和防火通风的需求。</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（2）同一个建筑立面设置的雨篷式招牌类型、大小、悬挂位置、出挑尺寸应一致。</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（3）高度不宜大于1m，出挑距离不宜大于1.2m，雨篷式招牌下沿距地面不宜小于2.5m。</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（4）在城市道路沿线及相应的建筑后退距离内，其下沿距地面不应小于3m。</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2317750" cy="2160270"/>
            <wp:effectExtent l="0" t="0" r="6350" b="1143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2317750" cy="2160270"/>
                    </a:xfrm>
                    <a:prstGeom prst="rect">
                      <a:avLst/>
                    </a:prstGeom>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9 </w:t>
      </w:r>
      <w:r>
        <w:rPr>
          <w:rFonts w:hAnsi="黑体" w:eastAsia="黑体"/>
          <w:bCs/>
          <w:color w:val="auto"/>
          <w:sz w:val="17"/>
          <w:szCs w:val="17"/>
        </w:rPr>
        <w:t xml:space="preserve"> 雨篷式招牌设置</w:t>
      </w:r>
    </w:p>
    <w:p>
      <w:pPr>
        <w:adjustRightInd w:val="0"/>
        <w:snapToGrid w:val="0"/>
        <w:spacing w:line="320" w:lineRule="exact"/>
        <w:rPr>
          <w:rFonts w:eastAsiaTheme="minorEastAsia"/>
          <w:b/>
          <w:color w:val="auto"/>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6.1.8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小型侧招宜以实物造型或图案来表现（见图10）应符合以下要求：</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（1）最大直径或最大边长不得大于0.8m，支架出挑的距离不得大于0.3m。</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（2）小型侧招下沿距地面不宜小于2.5m，在城市道路沿线及相应的建筑后退距离内，其下沿距地面不应小于3m。</w:t>
      </w:r>
    </w:p>
    <w:p>
      <w:pPr>
        <w:adjustRightInd w:val="0"/>
        <w:snapToGrid w:val="0"/>
        <w:jc w:val="center"/>
        <w:rPr>
          <w:rFonts w:eastAsiaTheme="minorEastAsia"/>
          <w:color w:val="auto"/>
          <w:szCs w:val="21"/>
        </w:rPr>
      </w:pPr>
      <w:r>
        <w:rPr>
          <w:rFonts w:hint="eastAsia" w:eastAsiaTheme="minorEastAsia"/>
          <w:color w:val="auto"/>
          <w:szCs w:val="21"/>
        </w:rPr>
        <w:drawing>
          <wp:inline distT="0" distB="0" distL="114300" distR="114300">
            <wp:extent cx="3338830" cy="1614170"/>
            <wp:effectExtent l="0" t="0" r="13970" b="5080"/>
            <wp:docPr id="8" name="图片 8" descr="a5e1389716af6e267f1441c8ac494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a5e1389716af6e267f1441c8ac49417"/>
                    <pic:cNvPicPr>
                      <a:picLocks noChangeAspect="true"/>
                    </pic:cNvPicPr>
                  </pic:nvPicPr>
                  <pic:blipFill>
                    <a:blip r:embed="rId21" cstate="print"/>
                    <a:stretch>
                      <a:fillRect/>
                    </a:stretch>
                  </pic:blipFill>
                  <pic:spPr>
                    <a:xfrm>
                      <a:off x="0" y="0"/>
                      <a:ext cx="3338830" cy="1614170"/>
                    </a:xfrm>
                    <a:prstGeom prst="rect">
                      <a:avLst/>
                    </a:prstGeom>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10</w:t>
      </w:r>
      <w:r>
        <w:rPr>
          <w:rFonts w:hAnsi="黑体" w:eastAsia="黑体"/>
          <w:bCs/>
          <w:color w:val="auto"/>
          <w:sz w:val="17"/>
          <w:szCs w:val="17"/>
        </w:rPr>
        <w:t xml:space="preserve">  小型侧招设置</w:t>
      </w:r>
    </w:p>
    <w:p>
      <w:pPr>
        <w:adjustRightInd w:val="0"/>
        <w:snapToGrid w:val="0"/>
        <w:spacing w:line="320" w:lineRule="exact"/>
        <w:rPr>
          <w:rFonts w:eastAsiaTheme="minorEastAsia"/>
          <w:b/>
          <w:color w:val="auto"/>
          <w:kern w:val="0"/>
          <w:sz w:val="21"/>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6.1.9  </w:t>
      </w:r>
      <w:r>
        <w:rPr>
          <w:rFonts w:hint="eastAsia" w:ascii="方正仿宋_GBK" w:eastAsia="方正仿宋_GBK" w:hAnsiTheme="minorEastAsia"/>
          <w:color w:val="auto"/>
          <w:kern w:val="0"/>
          <w:sz w:val="21"/>
          <w:szCs w:val="21"/>
        </w:rPr>
        <w:t>刀匾招牌的设置应符合以下要求（见图11）：</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（1）刀匾式招牌宜采用镂空形式，悬挂角度应与建筑物外墙成90</w:t>
      </w:r>
      <w:r>
        <w:rPr>
          <w:rFonts w:hint="eastAsia" w:ascii="宋体" w:hAnsi="宋体" w:eastAsia="宋体" w:cs="宋体"/>
          <w:color w:val="auto"/>
          <w:kern w:val="0"/>
          <w:sz w:val="21"/>
          <w:szCs w:val="21"/>
        </w:rPr>
        <w:t>º</w:t>
      </w:r>
      <w:r>
        <w:rPr>
          <w:rFonts w:hint="eastAsia" w:ascii="方正仿宋_GBK" w:hAnsi="方正仿宋_GBK" w:eastAsia="方正仿宋_GBK" w:cs="方正仿宋_GBK"/>
          <w:color w:val="auto"/>
          <w:kern w:val="0"/>
          <w:sz w:val="21"/>
          <w:szCs w:val="21"/>
        </w:rPr>
        <w:t>角。</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（2）不得在建筑6层以上设置，刀匾下沿距地面不得小于3m，支架出挑距离不得大于0.5m、宽度不得大于1.2m高度不宜超过8m、厚度不得大于0.5m。</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（3）在城市副中心、市（区）级商业街道（中心）、市（区）级专业市场等，以及商业零售建筑集中的区域不得设置刀匾式招牌。</w:t>
      </w:r>
    </w:p>
    <w:p>
      <w:pPr>
        <w:adjustRightInd w:val="0"/>
        <w:snapToGrid w:val="0"/>
        <w:spacing w:line="320" w:lineRule="exact"/>
        <w:ind w:firstLine="420" w:firstLineChars="200"/>
        <w:rPr>
          <w:rFonts w:ascii="方正仿宋_GBK" w:eastAsia="方正仿宋_GBK" w:hAnsiTheme="minorEastAsia"/>
          <w:color w:val="auto"/>
          <w:kern w:val="0"/>
          <w:sz w:val="21"/>
          <w:szCs w:val="21"/>
        </w:rPr>
      </w:pPr>
      <w:r>
        <w:rPr>
          <w:rFonts w:hint="eastAsia" w:ascii="方正仿宋_GBK" w:eastAsia="方正仿宋_GBK" w:hAnsiTheme="minorEastAsia"/>
          <w:color w:val="auto"/>
          <w:kern w:val="0"/>
          <w:sz w:val="21"/>
          <w:szCs w:val="21"/>
        </w:rPr>
        <w:t>（4）下方有行人通行的不宜设置。</w:t>
      </w: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2284730" cy="2160270"/>
            <wp:effectExtent l="0" t="0" r="1270" b="11430"/>
            <wp:docPr id="1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true"/>
                    </pic:cNvPicPr>
                  </pic:nvPicPr>
                  <pic:blipFill>
                    <a:blip r:embed="rId22" cstate="print"/>
                    <a:stretch>
                      <a:fillRect/>
                    </a:stretch>
                  </pic:blipFill>
                  <pic:spPr>
                    <a:xfrm>
                      <a:off x="0" y="0"/>
                      <a:ext cx="2284730" cy="2160270"/>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11 </w:t>
      </w:r>
      <w:r>
        <w:rPr>
          <w:rFonts w:hAnsi="黑体" w:eastAsia="黑体"/>
          <w:bCs/>
          <w:color w:val="auto"/>
          <w:sz w:val="17"/>
          <w:szCs w:val="17"/>
        </w:rPr>
        <w:t xml:space="preserve"> 刀匾招牌设置</w:t>
      </w:r>
    </w:p>
    <w:p>
      <w:pPr>
        <w:adjustRightInd w:val="0"/>
        <w:snapToGrid w:val="0"/>
        <w:spacing w:line="320" w:lineRule="exact"/>
        <w:rPr>
          <w:rFonts w:ascii="方正仿宋_GBK" w:eastAsia="方正仿宋_GBK"/>
          <w:b/>
          <w:color w:val="auto"/>
          <w:kern w:val="0"/>
          <w:sz w:val="21"/>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6.1.10</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设置于窗框内的招牌宜设置（见图12）在窗框上部，高度不得超过窗框高度的20%，不得影响窗户的正常开启和防火通风的要求，并应与建筑墙面或构件可靠连接。</w:t>
      </w:r>
    </w:p>
    <w:p>
      <w:pPr>
        <w:adjustRightInd w:val="0"/>
        <w:snapToGrid w:val="0"/>
        <w:spacing w:line="32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2513965" cy="1614170"/>
            <wp:effectExtent l="0" t="0" r="635" b="5080"/>
            <wp:docPr id="17" name="图片 16" descr="窗框内招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descr="窗框内招牌"/>
                    <pic:cNvPicPr>
                      <a:picLocks noChangeAspect="true"/>
                    </pic:cNvPicPr>
                  </pic:nvPicPr>
                  <pic:blipFill>
                    <a:blip r:embed="rId23" cstate="print"/>
                    <a:stretch>
                      <a:fillRect/>
                    </a:stretch>
                  </pic:blipFill>
                  <pic:spPr>
                    <a:xfrm>
                      <a:off x="0" y="0"/>
                      <a:ext cx="2513965" cy="1614170"/>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12 </w:t>
      </w:r>
      <w:r>
        <w:rPr>
          <w:rFonts w:hAnsi="黑体" w:eastAsia="黑体"/>
          <w:bCs/>
          <w:color w:val="auto"/>
          <w:sz w:val="17"/>
          <w:szCs w:val="17"/>
        </w:rPr>
        <w:t xml:space="preserve"> 窗框内的招牌设置</w:t>
      </w:r>
    </w:p>
    <w:p>
      <w:pPr>
        <w:adjustRightInd w:val="0"/>
        <w:snapToGrid w:val="0"/>
        <w:spacing w:line="320" w:lineRule="exact"/>
        <w:rPr>
          <w:rFonts w:ascii="方正仿宋_GBK" w:eastAsia="方正仿宋_GBK"/>
          <w:b/>
          <w:color w:val="auto"/>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6.1.11 </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建筑底层的平行外墙式招牌应设置在二层楼板以下，下沿底边距地面不宜小于2.5m。</w:t>
      </w:r>
    </w:p>
    <w:p>
      <w:pPr>
        <w:adjustRightInd w:val="0"/>
        <w:snapToGrid w:val="0"/>
        <w:spacing w:line="320" w:lineRule="exact"/>
        <w:rPr>
          <w:rFonts w:ascii="方正仿宋_GBK" w:eastAsia="方正仿宋_GBK" w:hAnsiTheme="minorEastAsia"/>
          <w:color w:val="auto"/>
          <w:szCs w:val="21"/>
        </w:rPr>
      </w:pPr>
      <w:r>
        <w:rPr>
          <w:rFonts w:hint="eastAsia" w:ascii="方正仿宋_GBK" w:eastAsia="方正仿宋_GBK"/>
          <w:b/>
          <w:color w:val="auto"/>
          <w:kern w:val="0"/>
          <w:sz w:val="21"/>
          <w:szCs w:val="21"/>
        </w:rPr>
        <w:t xml:space="preserve">6.1.12 </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同一幢建筑上的垂直外墙式招牌应当设置于建筑立面的同一基准线上，如图13所示。</w:t>
      </w:r>
    </w:p>
    <w:p>
      <w:pPr>
        <w:adjustRightInd w:val="0"/>
        <w:snapToGrid w:val="0"/>
        <w:spacing w:line="32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3202305" cy="1007745"/>
            <wp:effectExtent l="0" t="0" r="17145" b="1905"/>
            <wp:docPr id="18" name="图片 17" descr="垂直外墙招牌"/>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descr="垂直外墙招牌"/>
                    <pic:cNvPicPr>
                      <a:picLocks noChangeAspect="true"/>
                    </pic:cNvPicPr>
                  </pic:nvPicPr>
                  <pic:blipFill>
                    <a:blip r:embed="rId24" cstate="print"/>
                    <a:stretch>
                      <a:fillRect/>
                    </a:stretch>
                  </pic:blipFill>
                  <pic:spPr>
                    <a:xfrm>
                      <a:off x="0" y="0"/>
                      <a:ext cx="3202305" cy="100774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13</w:t>
      </w:r>
      <w:r>
        <w:rPr>
          <w:rFonts w:hAnsi="黑体" w:eastAsia="黑体"/>
          <w:bCs/>
          <w:color w:val="auto"/>
          <w:sz w:val="17"/>
          <w:szCs w:val="17"/>
        </w:rPr>
        <w:t xml:space="preserve">  垂直外墙式招牌设置</w:t>
      </w:r>
    </w:p>
    <w:p>
      <w:pPr>
        <w:adjustRightInd w:val="0"/>
        <w:snapToGrid w:val="0"/>
        <w:spacing w:line="320" w:lineRule="exact"/>
        <w:rPr>
          <w:rFonts w:ascii="方正仿宋_GBK" w:eastAsia="方正仿宋_GBK"/>
          <w:b/>
          <w:color w:val="auto"/>
          <w:szCs w:val="21"/>
        </w:rPr>
      </w:pP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6.1.13</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建筑立面上有立柱、线脚等装饰物的，不得遮挡装饰物，如图14所示。</w:t>
      </w: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3291205" cy="1007745"/>
            <wp:effectExtent l="0" t="0" r="4445" b="1905"/>
            <wp:docPr id="19" name="图片 18" descr="图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8" descr="图7"/>
                    <pic:cNvPicPr>
                      <a:picLocks noChangeAspect="true"/>
                    </pic:cNvPicPr>
                  </pic:nvPicPr>
                  <pic:blipFill>
                    <a:blip r:embed="rId25" cstate="print"/>
                    <a:srcRect l="23250" t="32466" r="13075" b="27498"/>
                    <a:stretch>
                      <a:fillRect/>
                    </a:stretch>
                  </pic:blipFill>
                  <pic:spPr>
                    <a:xfrm>
                      <a:off x="0" y="0"/>
                      <a:ext cx="3291205" cy="100774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14</w:t>
      </w:r>
      <w:r>
        <w:rPr>
          <w:rFonts w:hAnsi="黑体" w:eastAsia="黑体"/>
          <w:bCs/>
          <w:color w:val="auto"/>
          <w:sz w:val="17"/>
          <w:szCs w:val="17"/>
        </w:rPr>
        <w:t xml:space="preserve">  建筑立面上有立柱、线脚等招牌设置</w:t>
      </w:r>
    </w:p>
    <w:p>
      <w:pPr>
        <w:adjustRightInd w:val="0"/>
        <w:snapToGrid w:val="0"/>
        <w:spacing w:line="320" w:lineRule="exact"/>
        <w:rPr>
          <w:rFonts w:ascii="方正仿宋_GBK" w:eastAsia="方正仿宋_GBK"/>
          <w:b/>
          <w:color w:val="auto"/>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6.1.14</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建筑立面上有拱券构件的，在拱券以外部分不宜设置户外招牌，如图15所示。</w:t>
      </w: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2981325" cy="1762125"/>
            <wp:effectExtent l="0" t="0" r="0" b="0"/>
            <wp:docPr id="20" name="图片 19" descr="图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19" descr="图8"/>
                    <pic:cNvPicPr>
                      <a:picLocks noChangeAspect="true"/>
                    </pic:cNvPicPr>
                  </pic:nvPicPr>
                  <pic:blipFill>
                    <a:blip r:embed="rId26" cstate="print"/>
                    <a:srcRect l="25441" t="12277" r="15118" b="7780"/>
                    <a:stretch>
                      <a:fillRect/>
                    </a:stretch>
                  </pic:blipFill>
                  <pic:spPr>
                    <a:xfrm>
                      <a:off x="0" y="0"/>
                      <a:ext cx="2983171" cy="1763216"/>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15</w:t>
      </w:r>
      <w:r>
        <w:rPr>
          <w:rFonts w:hAnsi="黑体" w:eastAsia="黑体"/>
          <w:bCs/>
          <w:color w:val="auto"/>
          <w:sz w:val="17"/>
          <w:szCs w:val="17"/>
        </w:rPr>
        <w:t xml:space="preserve">  建筑立面上有拱券构件招牌设置</w:t>
      </w:r>
    </w:p>
    <w:p>
      <w:pPr>
        <w:adjustRightInd w:val="0"/>
        <w:snapToGrid w:val="0"/>
        <w:spacing w:line="320" w:lineRule="exact"/>
        <w:rPr>
          <w:rFonts w:eastAsiaTheme="minorEastAsia"/>
          <w:b/>
          <w:color w:val="auto"/>
          <w:kern w:val="0"/>
          <w:sz w:val="21"/>
          <w:szCs w:val="21"/>
        </w:rPr>
      </w:pPr>
    </w:p>
    <w:p>
      <w:pPr>
        <w:adjustRightInd w:val="0"/>
        <w:snapToGrid w:val="0"/>
        <w:spacing w:line="320" w:lineRule="exact"/>
        <w:rPr>
          <w:rFonts w:ascii="方正仿宋_GBK" w:eastAsia="方正仿宋_GBK" w:hAnsiTheme="minorEastAsia"/>
          <w:color w:val="auto"/>
          <w:kern w:val="0"/>
          <w:sz w:val="21"/>
          <w:szCs w:val="21"/>
        </w:rPr>
      </w:pPr>
      <w:r>
        <w:rPr>
          <w:rFonts w:eastAsiaTheme="minorEastAsia"/>
          <w:b/>
          <w:color w:val="auto"/>
          <w:kern w:val="0"/>
          <w:sz w:val="21"/>
          <w:szCs w:val="21"/>
        </w:rPr>
        <w:t>6</w:t>
      </w:r>
      <w:r>
        <w:rPr>
          <w:rFonts w:hint="eastAsia" w:ascii="方正仿宋_GBK" w:eastAsia="方正仿宋_GBK"/>
          <w:b/>
          <w:color w:val="auto"/>
          <w:kern w:val="0"/>
          <w:sz w:val="21"/>
          <w:szCs w:val="21"/>
        </w:rPr>
        <w:t>.1.15</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建筑平面布局上有凹凸或曲折变化的，不得破坏建筑立面的形态关系，如图16所示。</w:t>
      </w:r>
    </w:p>
    <w:p>
      <w:pPr>
        <w:adjustRightInd w:val="0"/>
        <w:snapToGrid w:val="0"/>
        <w:spacing w:line="320" w:lineRule="exact"/>
        <w:rPr>
          <w:rFonts w:ascii="方正仿宋_GBK" w:eastAsia="方正仿宋_GBK"/>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3945255" cy="2016125"/>
            <wp:effectExtent l="0" t="0" r="17145" b="3175"/>
            <wp:docPr id="21"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true"/>
                    </pic:cNvPicPr>
                  </pic:nvPicPr>
                  <pic:blipFill>
                    <a:blip r:embed="rId27" cstate="print"/>
                    <a:srcRect l="5621" t="4033" r="4836" b="1590"/>
                    <a:stretch>
                      <a:fillRect/>
                    </a:stretch>
                  </pic:blipFill>
                  <pic:spPr>
                    <a:xfrm>
                      <a:off x="0" y="0"/>
                      <a:ext cx="3945255" cy="201612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16 </w:t>
      </w:r>
      <w:r>
        <w:rPr>
          <w:rFonts w:hAnsi="黑体" w:eastAsia="黑体"/>
          <w:bCs/>
          <w:color w:val="auto"/>
          <w:sz w:val="17"/>
          <w:szCs w:val="17"/>
        </w:rPr>
        <w:t xml:space="preserve"> 建筑平面布局上有凹凸或曲折变化的招牌设置</w:t>
      </w:r>
    </w:p>
    <w:p>
      <w:pPr>
        <w:adjustRightInd w:val="0"/>
        <w:snapToGrid w:val="0"/>
        <w:spacing w:line="320" w:lineRule="exact"/>
        <w:rPr>
          <w:rFonts w:eastAsiaTheme="minorEastAsia"/>
          <w:b/>
          <w:color w:val="auto"/>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6.1.16</w:t>
      </w:r>
      <w:r>
        <w:rPr>
          <w:rFonts w:hint="eastAsia" w:ascii="方正仿宋_GBK" w:eastAsia="方正仿宋_GBK"/>
          <w:b/>
          <w:color w:val="auto"/>
          <w:szCs w:val="21"/>
        </w:rPr>
        <w:t xml:space="preserve">  </w:t>
      </w:r>
      <w:r>
        <w:rPr>
          <w:rFonts w:hint="eastAsia" w:ascii="方正仿宋_GBK" w:eastAsia="方正仿宋_GBK" w:hAnsiTheme="minorEastAsia"/>
          <w:color w:val="auto"/>
          <w:kern w:val="0"/>
          <w:sz w:val="21"/>
          <w:szCs w:val="21"/>
        </w:rPr>
        <w:t>有柱廊或底层以上有出挑结构的建筑（如：骑楼等），廊道内侧或出挑部分的底部距离地面大于或等于3m的，应设置在廊道内侧和出挑结构以下；小于3m的，可设置于廊道外围或出挑部分的墙面上，宜采用镂空式样，如图17所示。</w:t>
      </w:r>
    </w:p>
    <w:p>
      <w:pPr>
        <w:adjustRightInd w:val="0"/>
        <w:snapToGrid w:val="0"/>
        <w:spacing w:line="32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114300" distR="114300">
            <wp:extent cx="2294890" cy="1007745"/>
            <wp:effectExtent l="0" t="0" r="10160" b="1905"/>
            <wp:docPr id="22"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true"/>
                    </pic:cNvPicPr>
                  </pic:nvPicPr>
                  <pic:blipFill>
                    <a:blip r:embed="rId28" cstate="print"/>
                    <a:srcRect l="11496" t="3581" r="33368" b="47028"/>
                    <a:stretch>
                      <a:fillRect/>
                    </a:stretch>
                  </pic:blipFill>
                  <pic:spPr>
                    <a:xfrm>
                      <a:off x="0" y="0"/>
                      <a:ext cx="2294890" cy="1007745"/>
                    </a:xfrm>
                    <a:prstGeom prst="rect">
                      <a:avLst/>
                    </a:prstGeom>
                    <a:noFill/>
                    <a:ln w="9525">
                      <a:noFill/>
                    </a:ln>
                  </pic:spPr>
                </pic:pic>
              </a:graphicData>
            </a:graphic>
          </wp:inline>
        </w:drawing>
      </w:r>
      <w:r>
        <w:rPr>
          <w:rFonts w:eastAsiaTheme="minorEastAsia"/>
          <w:color w:val="auto"/>
          <w:szCs w:val="21"/>
        </w:rPr>
        <w:drawing>
          <wp:inline distT="0" distB="0" distL="114300" distR="114300">
            <wp:extent cx="2272665" cy="1007745"/>
            <wp:effectExtent l="0" t="0" r="13335" b="1905"/>
            <wp:docPr id="23"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true"/>
                    </pic:cNvPicPr>
                  </pic:nvPicPr>
                  <pic:blipFill>
                    <a:blip r:embed="rId28" cstate="print"/>
                    <a:srcRect l="44214" t="49266" r="2170" b="2255"/>
                    <a:stretch>
                      <a:fillRect/>
                    </a:stretch>
                  </pic:blipFill>
                  <pic:spPr>
                    <a:xfrm>
                      <a:off x="0" y="0"/>
                      <a:ext cx="2272665" cy="1007745"/>
                    </a:xfrm>
                    <a:prstGeom prst="rect">
                      <a:avLst/>
                    </a:prstGeom>
                    <a:noFill/>
                    <a:ln w="9525">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17 </w:t>
      </w:r>
      <w:r>
        <w:rPr>
          <w:rFonts w:hAnsi="黑体" w:eastAsia="黑体"/>
          <w:bCs/>
          <w:color w:val="auto"/>
          <w:sz w:val="17"/>
          <w:szCs w:val="17"/>
        </w:rPr>
        <w:t xml:space="preserve"> 有柱廊或底层以上有出挑结构的建筑招牌设置</w:t>
      </w:r>
    </w:p>
    <w:p>
      <w:pPr>
        <w:adjustRightInd w:val="0"/>
        <w:snapToGrid w:val="0"/>
        <w:spacing w:line="320" w:lineRule="exact"/>
        <w:rPr>
          <w:rFonts w:eastAsiaTheme="minorEastAsia"/>
          <w:b/>
          <w:color w:val="auto"/>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6.1.17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在坡屋顶建筑山墙面上的，宜采用镂空式，且不得破坏屋面轮廓线，如图18所示。</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2685415" cy="1614170"/>
            <wp:effectExtent l="0" t="0" r="635" b="508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2685415" cy="1614170"/>
                    </a:xfrm>
                    <a:prstGeom prst="rect">
                      <a:avLst/>
                    </a:prstGeom>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18</w:t>
      </w:r>
      <w:r>
        <w:rPr>
          <w:rFonts w:hAnsi="黑体" w:eastAsia="黑体"/>
          <w:bCs/>
          <w:color w:val="auto"/>
          <w:sz w:val="17"/>
          <w:szCs w:val="17"/>
        </w:rPr>
        <w:t xml:space="preserve">  坡屋顶建筑山墙面上的招牌设置</w:t>
      </w:r>
    </w:p>
    <w:p>
      <w:pPr>
        <w:adjustRightInd w:val="0"/>
        <w:snapToGrid w:val="0"/>
        <w:spacing w:line="320" w:lineRule="exact"/>
        <w:rPr>
          <w:rFonts w:eastAsiaTheme="minorEastAsia"/>
          <w:b/>
          <w:color w:val="auto"/>
          <w:szCs w:val="21"/>
        </w:rPr>
      </w:pP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6.1.18</w:t>
      </w:r>
      <w:r>
        <w:rPr>
          <w:rFonts w:hint="eastAsia" w:ascii="方正仿宋_GBK" w:eastAsia="方正仿宋_GBK"/>
          <w:b/>
          <w:color w:val="auto"/>
          <w:szCs w:val="21"/>
        </w:rPr>
        <w:t xml:space="preserve">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设置于建筑出入口雨棚上的户外招牌应采用镂空式，如图19所示。</w:t>
      </w: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253740" cy="1553845"/>
            <wp:effectExtent l="19050" t="0" r="3640" b="0"/>
            <wp:docPr id="37" name="图片 37" descr="F:\zjc\2019\2019 市政规范\规范\重庆招牌附图\图1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F:\zjc\2019\2019 市政规范\规范\重庆招牌附图\图13.png"/>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l="1103" t="1596" r="1288" b="2123"/>
                    <a:stretch>
                      <a:fillRect/>
                    </a:stretch>
                  </pic:blipFill>
                  <pic:spPr>
                    <a:xfrm>
                      <a:off x="0" y="0"/>
                      <a:ext cx="3253910" cy="1554051"/>
                    </a:xfrm>
                    <a:prstGeom prst="rect">
                      <a:avLst/>
                    </a:prstGeom>
                    <a:noFill/>
                    <a:ln>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 xml:space="preserve">19 </w:t>
      </w:r>
      <w:r>
        <w:rPr>
          <w:rFonts w:hAnsi="黑体" w:eastAsia="黑体"/>
          <w:bCs/>
          <w:color w:val="auto"/>
          <w:sz w:val="17"/>
          <w:szCs w:val="17"/>
        </w:rPr>
        <w:t xml:space="preserve"> 建筑出入口雨棚上招牌设置</w:t>
      </w:r>
    </w:p>
    <w:p>
      <w:pPr>
        <w:adjustRightInd w:val="0"/>
        <w:snapToGrid w:val="0"/>
        <w:spacing w:line="240" w:lineRule="exact"/>
        <w:rPr>
          <w:rFonts w:eastAsiaTheme="minorEastAsia"/>
          <w:b/>
          <w:color w:val="auto"/>
          <w:kern w:val="0"/>
          <w:sz w:val="21"/>
          <w:szCs w:val="21"/>
        </w:rPr>
      </w:pPr>
    </w:p>
    <w:p>
      <w:pPr>
        <w:adjustRightInd w:val="0"/>
        <w:snapToGrid w:val="0"/>
        <w:spacing w:line="320" w:lineRule="exact"/>
        <w:rPr>
          <w:rFonts w:ascii="方正仿宋_GBK" w:eastAsia="方正仿宋_GBK" w:hAnsiTheme="minorEastAsia"/>
          <w:color w:val="auto"/>
          <w:kern w:val="0"/>
          <w:sz w:val="21"/>
          <w:szCs w:val="21"/>
        </w:rPr>
      </w:pPr>
      <w:r>
        <w:rPr>
          <w:rFonts w:hint="eastAsia" w:ascii="方正仿宋_GBK" w:eastAsia="方正仿宋_GBK"/>
          <w:b/>
          <w:color w:val="auto"/>
          <w:kern w:val="0"/>
          <w:sz w:val="21"/>
          <w:szCs w:val="21"/>
        </w:rPr>
        <w:t xml:space="preserve">6.1.19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建筑物名称招牌应采用镂空式设置于实体墙面，如图20所示。</w:t>
      </w:r>
    </w:p>
    <w:p>
      <w:pPr>
        <w:adjustRightInd w:val="0"/>
        <w:snapToGrid w:val="0"/>
        <w:spacing w:line="320" w:lineRule="exact"/>
        <w:rPr>
          <w:rFonts w:eastAsiaTheme="minorEastAsia"/>
          <w:color w:val="auto"/>
          <w:szCs w:val="21"/>
        </w:rPr>
      </w:pPr>
    </w:p>
    <w:p>
      <w:pPr>
        <w:adjustRightInd w:val="0"/>
        <w:snapToGrid w:val="0"/>
        <w:jc w:val="center"/>
        <w:rPr>
          <w:rFonts w:eastAsiaTheme="minorEastAsia"/>
          <w:color w:val="auto"/>
          <w:szCs w:val="21"/>
        </w:rPr>
      </w:pPr>
      <w:r>
        <w:rPr>
          <w:rFonts w:eastAsiaTheme="minorEastAsia"/>
          <w:color w:val="auto"/>
          <w:szCs w:val="21"/>
        </w:rPr>
        <w:drawing>
          <wp:inline distT="0" distB="0" distL="0" distR="0">
            <wp:extent cx="3497580" cy="1614170"/>
            <wp:effectExtent l="0" t="0" r="7620" b="5080"/>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pic:cNvPicPr>
                  </pic:nvPicPr>
                  <pic:blipFill>
                    <a:blip r:embed="rId31" cstate="print">
                      <a:extLst>
                        <a:ext uri="{28A0092B-C50C-407E-A947-70E740481C1C}">
                          <a14:useLocalDpi xmlns:a14="http://schemas.microsoft.com/office/drawing/2010/main" val="false"/>
                        </a:ext>
                      </a:extLst>
                    </a:blip>
                    <a:srcRect l="5124" t="7943" r="1386" b="2834"/>
                    <a:stretch>
                      <a:fillRect/>
                    </a:stretch>
                  </pic:blipFill>
                  <pic:spPr>
                    <a:xfrm>
                      <a:off x="0" y="0"/>
                      <a:ext cx="3500174" cy="1615286"/>
                    </a:xfrm>
                    <a:prstGeom prst="rect">
                      <a:avLst/>
                    </a:prstGeom>
                    <a:ln>
                      <a:noFill/>
                    </a:ln>
                  </pic:spPr>
                </pic:pic>
              </a:graphicData>
            </a:graphic>
          </wp:inline>
        </w:drawing>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图</w:t>
      </w:r>
      <w:r>
        <w:rPr>
          <w:rFonts w:hAnsi="黑体" w:eastAsia="黑体"/>
          <w:b/>
          <w:bCs/>
          <w:color w:val="auto"/>
          <w:sz w:val="17"/>
          <w:szCs w:val="17"/>
        </w:rPr>
        <w:t>20</w:t>
      </w:r>
      <w:r>
        <w:rPr>
          <w:rFonts w:hAnsi="黑体" w:eastAsia="黑体"/>
          <w:bCs/>
          <w:color w:val="auto"/>
          <w:sz w:val="17"/>
          <w:szCs w:val="17"/>
        </w:rPr>
        <w:t xml:space="preserve">  建筑物名称招牌设置</w:t>
      </w:r>
    </w:p>
    <w:p>
      <w:pPr>
        <w:adjustRightInd w:val="0"/>
        <w:snapToGrid w:val="0"/>
        <w:spacing w:after="48" w:afterLines="20" w:line="240" w:lineRule="exact"/>
        <w:jc w:val="center"/>
        <w:rPr>
          <w:rFonts w:hAnsi="黑体" w:eastAsia="黑体"/>
          <w:bCs/>
          <w:color w:val="auto"/>
          <w:sz w:val="17"/>
          <w:szCs w:val="17"/>
        </w:rPr>
      </w:pPr>
    </w:p>
    <w:p>
      <w:pPr>
        <w:pStyle w:val="4"/>
        <w:keepNext w:val="0"/>
        <w:keepLines w:val="0"/>
        <w:adjustRightInd w:val="0"/>
        <w:snapToGrid w:val="0"/>
        <w:spacing w:before="120" w:beforeLines="50" w:after="120" w:afterLines="50" w:line="320" w:lineRule="exact"/>
        <w:jc w:val="center"/>
        <w:rPr>
          <w:rFonts w:ascii="Times New Roman" w:hAnsi="Times New Roman"/>
          <w:b w:val="0"/>
          <w:sz w:val="21"/>
          <w:szCs w:val="21"/>
        </w:rPr>
      </w:pPr>
      <w:r>
        <w:rPr>
          <w:rFonts w:ascii="Times New Roman" w:hAnsi="Times New Roman"/>
          <w:sz w:val="21"/>
          <w:szCs w:val="21"/>
        </w:rPr>
        <w:t xml:space="preserve">6.2  </w:t>
      </w:r>
      <w:r>
        <w:rPr>
          <w:rFonts w:ascii="Times New Roman" w:hAnsi="Times New Roman"/>
          <w:b w:val="0"/>
          <w:sz w:val="21"/>
          <w:szCs w:val="21"/>
        </w:rPr>
        <w:t>独立型招牌</w:t>
      </w:r>
    </w:p>
    <w:p>
      <w:pPr>
        <w:adjustRightInd w:val="0"/>
        <w:snapToGrid w:val="0"/>
        <w:spacing w:line="320" w:lineRule="exact"/>
        <w:rPr>
          <w:rFonts w:ascii="方正仿宋_GBK" w:eastAsia="方正仿宋_GBK" w:hAnsiTheme="minorEastAsia"/>
          <w:color w:val="auto"/>
          <w:szCs w:val="21"/>
        </w:rPr>
      </w:pPr>
      <w:r>
        <w:rPr>
          <w:rFonts w:hint="eastAsia" w:ascii="方正仿宋_GBK" w:eastAsia="方正仿宋_GBK"/>
          <w:b/>
          <w:color w:val="auto"/>
          <w:kern w:val="0"/>
          <w:sz w:val="21"/>
          <w:szCs w:val="21"/>
        </w:rPr>
        <w:t>6.2.1</w:t>
      </w:r>
      <w:r>
        <w:rPr>
          <w:rFonts w:hint="eastAsia" w:ascii="方正仿宋_GBK" w:eastAsia="方正仿宋_GBK"/>
          <w:b/>
          <w:color w:val="auto"/>
          <w:szCs w:val="21"/>
        </w:rPr>
        <w:t xml:space="preserve"> </w:t>
      </w:r>
      <w:r>
        <w:rPr>
          <w:rFonts w:hint="eastAsia" w:ascii="方正仿宋_GBK" w:eastAsia="方正仿宋_GBK"/>
          <w:color w:val="auto"/>
          <w:szCs w:val="21"/>
        </w:rPr>
        <w:t xml:space="preserve"> </w:t>
      </w:r>
      <w:r>
        <w:rPr>
          <w:rFonts w:hint="eastAsia" w:ascii="方正仿宋_GBK" w:eastAsia="方正仿宋_GBK" w:hAnsiTheme="minorEastAsia"/>
          <w:color w:val="auto"/>
          <w:kern w:val="0"/>
          <w:sz w:val="21"/>
          <w:szCs w:val="21"/>
        </w:rPr>
        <w:t>独立型招牌应设置在所属建筑用地红线范围之内，尺寸宜符合表3规定</w:t>
      </w:r>
      <w:r>
        <w:rPr>
          <w:rFonts w:hint="eastAsia" w:ascii="方正仿宋_GBK" w:eastAsia="方正仿宋_GBK" w:hAnsiTheme="minorEastAsia"/>
          <w:color w:val="auto"/>
          <w:szCs w:val="21"/>
        </w:rPr>
        <w:t>：</w:t>
      </w:r>
    </w:p>
    <w:p>
      <w:pPr>
        <w:adjustRightInd w:val="0"/>
        <w:snapToGrid w:val="0"/>
        <w:spacing w:after="48" w:afterLines="20" w:line="320" w:lineRule="exact"/>
        <w:jc w:val="center"/>
        <w:rPr>
          <w:rFonts w:hAnsi="黑体" w:eastAsia="黑体"/>
          <w:bCs/>
          <w:color w:val="auto"/>
          <w:sz w:val="17"/>
          <w:szCs w:val="17"/>
        </w:rPr>
      </w:pPr>
      <w:r>
        <w:rPr>
          <w:rFonts w:hAnsi="黑体" w:eastAsia="黑体"/>
          <w:bCs/>
          <w:color w:val="auto"/>
          <w:sz w:val="17"/>
          <w:szCs w:val="17"/>
        </w:rPr>
        <w:t>表</w:t>
      </w:r>
      <w:r>
        <w:rPr>
          <w:rFonts w:hAnsi="黑体" w:eastAsia="黑体"/>
          <w:b/>
          <w:bCs/>
          <w:color w:val="auto"/>
          <w:sz w:val="17"/>
          <w:szCs w:val="17"/>
        </w:rPr>
        <w:t>3</w:t>
      </w:r>
      <w:r>
        <w:rPr>
          <w:rFonts w:hAnsi="黑体" w:eastAsia="黑体"/>
          <w:bCs/>
          <w:color w:val="auto"/>
          <w:sz w:val="17"/>
          <w:szCs w:val="17"/>
        </w:rPr>
        <w:t xml:space="preserve">  独立型招牌设置尺寸 </w:t>
      </w:r>
    </w:p>
    <w:tbl>
      <w:tblPr>
        <w:tblStyle w:val="38"/>
        <w:tblW w:w="58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29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8"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设置场地宽度W（m）</w:t>
            </w:r>
          </w:p>
        </w:tc>
        <w:tc>
          <w:tcPr>
            <w:tcW w:w="2949"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招牌高度H（m）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8"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W≤5</w:t>
            </w:r>
          </w:p>
        </w:tc>
        <w:tc>
          <w:tcPr>
            <w:tcW w:w="2949"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H≤1.5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8"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5&lt;W≤10</w:t>
            </w:r>
          </w:p>
        </w:tc>
        <w:tc>
          <w:tcPr>
            <w:tcW w:w="2949"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H≤3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8"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10&lt;W≤20</w:t>
            </w:r>
          </w:p>
        </w:tc>
        <w:tc>
          <w:tcPr>
            <w:tcW w:w="2949"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H≤5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8"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20&lt;W</w:t>
            </w:r>
          </w:p>
        </w:tc>
        <w:tc>
          <w:tcPr>
            <w:tcW w:w="2949" w:type="dxa"/>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H≤8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897" w:type="dxa"/>
            <w:gridSpan w:val="2"/>
            <w:vAlign w:val="center"/>
          </w:tcPr>
          <w:p>
            <w:pPr>
              <w:pStyle w:val="156"/>
              <w:spacing w:line="0" w:lineRule="atLeast"/>
              <w:rPr>
                <w:rFonts w:hAnsiTheme="minorEastAsia" w:eastAsiaTheme="minorEastAsia" w:cstheme="minorBidi"/>
                <w:snapToGrid w:val="0"/>
                <w:sz w:val="15"/>
                <w:szCs w:val="15"/>
              </w:rPr>
            </w:pPr>
            <w:r>
              <w:rPr>
                <w:rFonts w:hAnsiTheme="minorEastAsia" w:eastAsiaTheme="minorEastAsia" w:cstheme="minorBidi"/>
                <w:snapToGrid w:val="0"/>
                <w:sz w:val="15"/>
                <w:szCs w:val="15"/>
              </w:rPr>
              <w:t>注：设置场地宽度是指建筑物外墙面到与之平行的最近的人行道之间的距离</w:t>
            </w:r>
          </w:p>
        </w:tc>
      </w:tr>
    </w:tbl>
    <w:p>
      <w:pPr>
        <w:pStyle w:val="157"/>
        <w:widowControl w:val="0"/>
        <w:adjustRightInd w:val="0"/>
        <w:snapToGrid w:val="0"/>
        <w:spacing w:line="320" w:lineRule="exact"/>
        <w:jc w:val="both"/>
        <w:outlineLvl w:val="9"/>
        <w:rPr>
          <w:rFonts w:ascii="Times New Roman" w:eastAsiaTheme="minorEastAsia"/>
          <w:b/>
        </w:rPr>
      </w:pPr>
    </w:p>
    <w:p>
      <w:pPr>
        <w:pStyle w:val="157"/>
        <w:widowControl w:val="0"/>
        <w:adjustRightInd w:val="0"/>
        <w:snapToGrid w:val="0"/>
        <w:spacing w:line="320" w:lineRule="exact"/>
        <w:jc w:val="both"/>
        <w:outlineLvl w:val="9"/>
        <w:rPr>
          <w:rFonts w:ascii="方正仿宋_GBK" w:eastAsia="方正仿宋_GBK"/>
        </w:rPr>
      </w:pPr>
      <w:r>
        <w:rPr>
          <w:rFonts w:hint="eastAsia" w:ascii="方正仿宋_GBK" w:eastAsia="方正仿宋_GBK"/>
          <w:b/>
        </w:rPr>
        <w:t xml:space="preserve">6.2.2  </w:t>
      </w:r>
      <w:r>
        <w:rPr>
          <w:rFonts w:hint="eastAsia" w:ascii="方正仿宋_GBK" w:eastAsia="方正仿宋_GBK" w:hAnsiTheme="minorEastAsia"/>
        </w:rPr>
        <w:t>竖向独立招牌最多不得多于四面，单面和双面型的招牌宽度不得大于</w:t>
      </w:r>
      <w:r>
        <w:rPr>
          <w:rFonts w:hint="eastAsia" w:ascii="方正仿宋_GBK" w:eastAsia="方正仿宋_GBK"/>
        </w:rPr>
        <w:t>1.3m</w:t>
      </w:r>
      <w:r>
        <w:rPr>
          <w:rFonts w:hint="eastAsia" w:ascii="方正仿宋_GBK" w:eastAsia="方正仿宋_GBK" w:hAnsiTheme="minorEastAsia"/>
        </w:rPr>
        <w:t>，三面型招牌单面宽度不得大于</w:t>
      </w:r>
      <w:r>
        <w:rPr>
          <w:rFonts w:hint="eastAsia" w:ascii="方正仿宋_GBK" w:eastAsia="方正仿宋_GBK"/>
        </w:rPr>
        <w:t>1.2m</w:t>
      </w:r>
      <w:r>
        <w:rPr>
          <w:rFonts w:hint="eastAsia" w:ascii="方正仿宋_GBK" w:eastAsia="方正仿宋_GBK" w:hAnsiTheme="minorEastAsia"/>
        </w:rPr>
        <w:t>，四面型招牌单面宽度不得大于</w:t>
      </w:r>
      <w:r>
        <w:rPr>
          <w:rFonts w:hint="eastAsia" w:ascii="方正仿宋_GBK" w:eastAsia="方正仿宋_GBK"/>
        </w:rPr>
        <w:t>1m</w:t>
      </w:r>
      <w:r>
        <w:rPr>
          <w:rFonts w:hint="eastAsia" w:ascii="方正仿宋_GBK" w:eastAsia="方正仿宋_GBK" w:hAnsiTheme="minorEastAsia"/>
        </w:rPr>
        <w:t>，高度不得超过</w:t>
      </w:r>
      <w:r>
        <w:rPr>
          <w:rFonts w:hint="eastAsia" w:ascii="方正仿宋_GBK" w:eastAsia="方正仿宋_GBK"/>
        </w:rPr>
        <w:t>6m</w:t>
      </w:r>
      <w:r>
        <w:rPr>
          <w:rFonts w:hint="eastAsia" w:ascii="方正仿宋_GBK" w:eastAsia="方正仿宋_GBK" w:hAnsiTheme="minorEastAsia"/>
        </w:rPr>
        <w:t>。</w:t>
      </w:r>
    </w:p>
    <w:p>
      <w:pPr>
        <w:pStyle w:val="157"/>
        <w:widowControl w:val="0"/>
        <w:adjustRightInd w:val="0"/>
        <w:snapToGrid w:val="0"/>
        <w:spacing w:line="320" w:lineRule="exact"/>
        <w:jc w:val="both"/>
        <w:outlineLvl w:val="9"/>
        <w:rPr>
          <w:rFonts w:ascii="方正仿宋_GBK" w:eastAsia="方正仿宋_GBK"/>
        </w:rPr>
      </w:pPr>
      <w:r>
        <w:rPr>
          <w:rFonts w:hint="eastAsia" w:ascii="方正仿宋_GBK" w:eastAsia="方正仿宋_GBK"/>
          <w:b/>
        </w:rPr>
        <w:t xml:space="preserve">6.2.3 </w:t>
      </w:r>
      <w:r>
        <w:rPr>
          <w:rFonts w:hint="eastAsia" w:ascii="方正仿宋_GBK" w:eastAsia="方正仿宋_GBK"/>
        </w:rPr>
        <w:t xml:space="preserve"> </w:t>
      </w:r>
      <w:r>
        <w:rPr>
          <w:rFonts w:hint="eastAsia" w:ascii="方正仿宋_GBK" w:eastAsia="方正仿宋_GBK" w:hAnsiTheme="minorEastAsia"/>
        </w:rPr>
        <w:t>横向独立招牌高度不得超过</w:t>
      </w:r>
      <w:r>
        <w:rPr>
          <w:rFonts w:hint="eastAsia" w:ascii="方正仿宋_GBK" w:eastAsia="方正仿宋_GBK"/>
        </w:rPr>
        <w:t>2.8m</w:t>
      </w:r>
      <w:r>
        <w:rPr>
          <w:rFonts w:hint="eastAsia" w:ascii="方正仿宋_GBK" w:eastAsia="方正仿宋_GBK" w:hAnsiTheme="minorEastAsia"/>
        </w:rPr>
        <w:t>，长度不得大于</w:t>
      </w:r>
      <w:r>
        <w:rPr>
          <w:rFonts w:hint="eastAsia" w:ascii="方正仿宋_GBK" w:eastAsia="方正仿宋_GBK"/>
        </w:rPr>
        <w:t>4m</w:t>
      </w:r>
      <w:r>
        <w:rPr>
          <w:rFonts w:hint="eastAsia" w:ascii="方正仿宋_GBK" w:eastAsia="方正仿宋_GBK" w:hAnsiTheme="minorEastAsia"/>
        </w:rPr>
        <w:t>，厚度不得大于</w:t>
      </w:r>
      <w:r>
        <w:rPr>
          <w:rFonts w:hint="eastAsia" w:ascii="方正仿宋_GBK" w:eastAsia="方正仿宋_GBK"/>
        </w:rPr>
        <w:t>0.15m</w:t>
      </w:r>
      <w:r>
        <w:rPr>
          <w:rFonts w:hint="eastAsia" w:ascii="方正仿宋_GBK" w:eastAsia="方正仿宋_GBK" w:hAnsiTheme="minorEastAsia"/>
        </w:rPr>
        <w:t>，可正反两面设置招牌，不得设置三面及三面以上招牌。</w:t>
      </w:r>
    </w:p>
    <w:p>
      <w:pPr>
        <w:pStyle w:val="157"/>
        <w:widowControl w:val="0"/>
        <w:adjustRightInd w:val="0"/>
        <w:snapToGrid w:val="0"/>
        <w:spacing w:line="320" w:lineRule="exact"/>
        <w:jc w:val="both"/>
        <w:outlineLvl w:val="9"/>
        <w:rPr>
          <w:rFonts w:ascii="方正仿宋_GBK" w:eastAsia="方正仿宋_GBK"/>
        </w:rPr>
      </w:pPr>
      <w:r>
        <w:rPr>
          <w:rFonts w:hint="eastAsia" w:ascii="方正仿宋_GBK" w:eastAsia="方正仿宋_GBK"/>
          <w:b/>
        </w:rPr>
        <w:t xml:space="preserve">6.2.4  </w:t>
      </w:r>
      <w:r>
        <w:rPr>
          <w:rFonts w:hint="eastAsia" w:ascii="方正仿宋_GBK" w:eastAsia="方正仿宋_GBK" w:hAnsiTheme="minorEastAsia"/>
        </w:rPr>
        <w:t>景观式招牌宜设置在主出入口或主建筑前，并符合有关规划要求。</w:t>
      </w:r>
    </w:p>
    <w:p>
      <w:pPr>
        <w:adjustRightInd w:val="0"/>
        <w:snapToGrid w:val="0"/>
        <w:spacing w:line="320" w:lineRule="exact"/>
        <w:rPr>
          <w:rFonts w:ascii="方正仿宋_GBK" w:eastAsia="方正仿宋_GBK"/>
          <w:color w:val="auto"/>
          <w:szCs w:val="21"/>
        </w:rPr>
      </w:pPr>
      <w:r>
        <w:rPr>
          <w:rFonts w:hint="eastAsia" w:ascii="方正仿宋_GBK" w:eastAsia="方正仿宋_GBK"/>
          <w:b/>
          <w:color w:val="auto"/>
          <w:kern w:val="0"/>
          <w:sz w:val="21"/>
          <w:szCs w:val="21"/>
        </w:rPr>
        <w:t xml:space="preserve">6.2.5 </w:t>
      </w:r>
      <w:r>
        <w:rPr>
          <w:rFonts w:hint="eastAsia" w:ascii="方正仿宋_GBK" w:eastAsia="方正仿宋_GBK" w:hAnsiTheme="minorEastAsia"/>
          <w:color w:val="auto"/>
          <w:szCs w:val="21"/>
        </w:rPr>
        <w:t xml:space="preserve"> </w:t>
      </w:r>
      <w:r>
        <w:rPr>
          <w:rFonts w:hint="eastAsia" w:ascii="方正仿宋_GBK" w:eastAsia="方正仿宋_GBK" w:hAnsiTheme="minorEastAsia"/>
          <w:color w:val="auto"/>
          <w:kern w:val="0"/>
          <w:sz w:val="21"/>
          <w:szCs w:val="21"/>
        </w:rPr>
        <w:t>底层以上无专用进出口的单位，应在建筑外墙上整体规划、集中组合设置招牌，也可集中组合设置独立型招牌。</w:t>
      </w:r>
      <w:bookmarkStart w:id="66" w:name="_Toc26964921"/>
      <w:r>
        <w:rPr>
          <w:rFonts w:hint="eastAsia" w:ascii="方正仿宋_GBK" w:eastAsia="方正仿宋_GBK"/>
          <w:color w:val="auto"/>
          <w:szCs w:val="21"/>
        </w:rPr>
        <w:br w:type="page"/>
      </w:r>
    </w:p>
    <w:p>
      <w:pPr>
        <w:pStyle w:val="4"/>
        <w:keepNext w:val="0"/>
        <w:keepLines w:val="0"/>
        <w:adjustRightInd w:val="0"/>
        <w:snapToGrid w:val="0"/>
        <w:spacing w:before="120" w:beforeLines="50" w:after="120" w:afterLines="50" w:line="300" w:lineRule="exact"/>
        <w:jc w:val="center"/>
        <w:rPr>
          <w:rFonts w:ascii="Times New Roman" w:hAnsi="Times New Roman" w:eastAsia="宋体"/>
          <w:sz w:val="30"/>
          <w:szCs w:val="30"/>
        </w:rPr>
      </w:pPr>
      <w:r>
        <w:rPr>
          <w:rFonts w:ascii="Times New Roman" w:hAnsi="Times New Roman" w:eastAsia="宋体"/>
          <w:sz w:val="30"/>
          <w:szCs w:val="30"/>
        </w:rPr>
        <w:t>7</w:t>
      </w:r>
      <w:bookmarkEnd w:id="66"/>
      <w:r>
        <w:rPr>
          <w:rFonts w:ascii="Times New Roman" w:hAnsi="Times New Roman" w:eastAsia="宋体"/>
          <w:sz w:val="30"/>
          <w:szCs w:val="30"/>
        </w:rPr>
        <w:t xml:space="preserve">  户外招牌设计</w:t>
      </w:r>
    </w:p>
    <w:p>
      <w:pPr>
        <w:pStyle w:val="4"/>
        <w:keepNext w:val="0"/>
        <w:keepLines w:val="0"/>
        <w:adjustRightInd w:val="0"/>
        <w:snapToGrid w:val="0"/>
        <w:spacing w:before="120" w:beforeLines="50" w:after="120" w:afterLines="50" w:line="300" w:lineRule="exact"/>
        <w:jc w:val="center"/>
        <w:rPr>
          <w:rFonts w:ascii="Times New Roman" w:hAnsi="Times New Roman"/>
          <w:sz w:val="21"/>
          <w:szCs w:val="21"/>
        </w:rPr>
      </w:pPr>
    </w:p>
    <w:p>
      <w:pPr>
        <w:pStyle w:val="4"/>
        <w:keepNext w:val="0"/>
        <w:keepLines w:val="0"/>
        <w:adjustRightInd w:val="0"/>
        <w:snapToGrid w:val="0"/>
        <w:spacing w:before="120" w:beforeLines="50" w:after="120" w:afterLines="50" w:line="300" w:lineRule="exact"/>
        <w:jc w:val="center"/>
        <w:rPr>
          <w:rFonts w:ascii="Times New Roman" w:hAnsi="Times New Roman"/>
          <w:b w:val="0"/>
          <w:sz w:val="21"/>
          <w:szCs w:val="21"/>
        </w:rPr>
      </w:pPr>
      <w:r>
        <w:rPr>
          <w:rFonts w:ascii="Times New Roman" w:hAnsi="Times New Roman"/>
          <w:sz w:val="21"/>
          <w:szCs w:val="21"/>
        </w:rPr>
        <w:t xml:space="preserve">7.1  </w:t>
      </w:r>
      <w:r>
        <w:rPr>
          <w:rFonts w:ascii="Times New Roman" w:hAnsi="Times New Roman"/>
          <w:b w:val="0"/>
          <w:sz w:val="21"/>
          <w:szCs w:val="21"/>
        </w:rPr>
        <w:t>一般规定</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7.1.1 </w:t>
      </w:r>
      <w:r>
        <w:rPr>
          <w:rFonts w:hint="eastAsia" w:ascii="方正仿宋_GBK" w:eastAsia="方正仿宋_GBK"/>
        </w:rPr>
        <w:t xml:space="preserve">  </w:t>
      </w:r>
      <w:r>
        <w:rPr>
          <w:rFonts w:hint="eastAsia" w:ascii="方正仿宋_GBK" w:eastAsia="方正仿宋_GBK" w:hAnsiTheme="minorEastAsia"/>
        </w:rPr>
        <w:t>户外招牌的结构设计应按承载能力极限状态的基本组合和正常使用极限状态的标准组合进行设计。考虑地震作用时，应按地震作用效应和荷载效应的基本组合进行设计。应符合</w:t>
      </w:r>
      <w:r>
        <w:rPr>
          <w:rFonts w:hint="eastAsia" w:ascii="方正仿宋_GBK" w:eastAsia="方正仿宋_GBK"/>
        </w:rPr>
        <w:t>GB 50017</w:t>
      </w:r>
      <w:r>
        <w:rPr>
          <w:rFonts w:hint="eastAsia" w:ascii="方正仿宋_GBK" w:eastAsia="方正仿宋_GBK" w:hAnsiTheme="minorEastAsia"/>
        </w:rPr>
        <w:t>的规定。</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7.1.2  </w:t>
      </w:r>
      <w:r>
        <w:rPr>
          <w:rFonts w:hint="eastAsia" w:ascii="方正仿宋_GBK" w:eastAsia="方正仿宋_GBK"/>
        </w:rPr>
        <w:t xml:space="preserve"> </w:t>
      </w:r>
      <w:r>
        <w:rPr>
          <w:rFonts w:hint="eastAsia" w:ascii="方正仿宋_GBK" w:eastAsia="方正仿宋_GBK" w:hAnsiTheme="minorEastAsia"/>
        </w:rPr>
        <w:t>依附于建筑物（或构筑物）墙面招牌的结构设计，在考虑附加户外招牌荷载后，原有建筑物（或构筑物）结构应能够满足相应规范规定的安全性能指标。</w:t>
      </w:r>
    </w:p>
    <w:p>
      <w:pPr>
        <w:pStyle w:val="4"/>
        <w:keepNext w:val="0"/>
        <w:keepLines w:val="0"/>
        <w:adjustRightInd w:val="0"/>
        <w:snapToGrid w:val="0"/>
        <w:spacing w:before="120" w:beforeLines="50" w:after="120" w:afterLines="50" w:line="30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7.2   </w:t>
      </w:r>
      <w:r>
        <w:rPr>
          <w:rFonts w:hint="eastAsia" w:ascii="方正仿宋_GBK" w:hAnsi="Times New Roman" w:eastAsia="方正仿宋_GBK"/>
          <w:b w:val="0"/>
          <w:sz w:val="21"/>
          <w:szCs w:val="21"/>
        </w:rPr>
        <w:t>落地招牌设计</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7.2.1  </w:t>
      </w:r>
      <w:r>
        <w:rPr>
          <w:rFonts w:hint="eastAsia" w:ascii="方正仿宋_GBK" w:eastAsia="方正仿宋_GBK"/>
        </w:rPr>
        <w:t>落地招牌基础的选型，应根据建设场地土质条件和结构的要求确定；地基基础均应进行强度计算，必要时还应进行地基抗滑稳定验算；基础底面脱开基础的面积不应大于底面积的1/4。</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7.2.2</w:t>
      </w:r>
      <w:r>
        <w:rPr>
          <w:rFonts w:hint="eastAsia" w:ascii="方正仿宋_GBK" w:eastAsia="方正仿宋_GBK"/>
        </w:rPr>
        <w:t xml:space="preserve">  </w:t>
      </w:r>
      <w:r>
        <w:rPr>
          <w:rFonts w:hint="eastAsia" w:ascii="方正仿宋_GBK" w:eastAsia="方正仿宋_GBK" w:hAnsiTheme="minorEastAsia"/>
        </w:rPr>
        <w:t>当基础处于地下水位以下时，应考虑地下水对基础和覆土的浮力作用，并确定地下水对基础有无浸蚀性及进行相应的防浸蚀处理。</w:t>
      </w:r>
    </w:p>
    <w:p>
      <w:pPr>
        <w:pStyle w:val="157"/>
        <w:widowControl w:val="0"/>
        <w:adjustRightInd w:val="0"/>
        <w:snapToGrid w:val="0"/>
        <w:spacing w:line="300" w:lineRule="exact"/>
        <w:jc w:val="both"/>
        <w:outlineLvl w:val="9"/>
        <w:rPr>
          <w:rFonts w:ascii="方正仿宋_GBK" w:eastAsia="方正仿宋_GBK"/>
          <w:shd w:val="clear" w:color="auto" w:fill="FFFFFF"/>
        </w:rPr>
      </w:pPr>
      <w:r>
        <w:rPr>
          <w:rFonts w:hint="eastAsia" w:ascii="方正仿宋_GBK" w:eastAsia="方正仿宋_GBK"/>
          <w:b/>
        </w:rPr>
        <w:t xml:space="preserve">7.2.3 </w:t>
      </w:r>
      <w:r>
        <w:rPr>
          <w:rFonts w:hint="eastAsia" w:ascii="方正仿宋_GBK" w:eastAsia="方正仿宋_GBK"/>
        </w:rPr>
        <w:t xml:space="preserve"> </w:t>
      </w:r>
      <w:r>
        <w:rPr>
          <w:rFonts w:hint="eastAsia" w:ascii="方正仿宋_GBK" w:eastAsia="方正仿宋_GBK" w:hAnsiTheme="minorEastAsia"/>
        </w:rPr>
        <w:t>落地招牌基础采用刚性基础时，一般承受偏心荷载，按照</w:t>
      </w:r>
      <w:r>
        <w:rPr>
          <w:rFonts w:hint="eastAsia" w:ascii="方正仿宋_GBK" w:eastAsia="方正仿宋_GBK"/>
        </w:rPr>
        <w:t>GB 50007</w:t>
      </w:r>
      <w:r>
        <w:rPr>
          <w:rFonts w:hint="eastAsia" w:ascii="方正仿宋_GBK" w:eastAsia="方正仿宋_GBK" w:hAnsiTheme="minorEastAsia"/>
        </w:rPr>
        <w:t>的规定进行设计。</w:t>
      </w:r>
    </w:p>
    <w:p>
      <w:pPr>
        <w:pStyle w:val="157"/>
        <w:widowControl w:val="0"/>
        <w:adjustRightInd w:val="0"/>
        <w:snapToGrid w:val="0"/>
        <w:spacing w:line="300" w:lineRule="exact"/>
        <w:jc w:val="both"/>
        <w:outlineLvl w:val="9"/>
        <w:rPr>
          <w:rFonts w:ascii="方正仿宋_GBK" w:eastAsia="方正仿宋_GBK"/>
          <w:shd w:val="clear" w:color="auto" w:fill="FFFFFF"/>
        </w:rPr>
      </w:pPr>
      <w:r>
        <w:rPr>
          <w:rFonts w:hint="eastAsia" w:ascii="方正仿宋_GBK" w:eastAsia="方正仿宋_GBK"/>
          <w:b/>
        </w:rPr>
        <w:t xml:space="preserve">7.2.4 </w:t>
      </w:r>
      <w:r>
        <w:rPr>
          <w:rFonts w:hint="eastAsia" w:ascii="方正仿宋_GBK" w:eastAsia="方正仿宋_GBK"/>
        </w:rPr>
        <w:t xml:space="preserve"> </w:t>
      </w:r>
      <w:r>
        <w:rPr>
          <w:rFonts w:hint="eastAsia" w:ascii="方正仿宋_GBK" w:eastAsia="方正仿宋_GBK" w:hAnsiTheme="minorEastAsia"/>
        </w:rPr>
        <w:t>当地基的软弱土层较厚，上部荷载较大且集中，浅基础不能满足落地广告钢结构对地基承载力和变形的要求时，可采用沉井或桩基础；桩基础可采用预制钢筋混凝土桩、混凝土灌注桩或钢管桩，应根据地质情况、结构类型、荷载大小、施工条件和建筑场地环境，经综合分析后确定桩基础类型；桩基计算按</w:t>
      </w:r>
      <w:r>
        <w:rPr>
          <w:rFonts w:hint="eastAsia" w:ascii="方正仿宋_GBK" w:eastAsia="方正仿宋_GBK"/>
        </w:rPr>
        <w:t>GB 50007</w:t>
      </w:r>
      <w:r>
        <w:rPr>
          <w:rFonts w:hint="eastAsia" w:ascii="方正仿宋_GBK" w:eastAsia="方正仿宋_GBK" w:hAnsiTheme="minorEastAsia"/>
        </w:rPr>
        <w:t>的规定执行。</w:t>
      </w:r>
    </w:p>
    <w:p>
      <w:pPr>
        <w:pStyle w:val="4"/>
        <w:keepNext w:val="0"/>
        <w:keepLines w:val="0"/>
        <w:adjustRightInd w:val="0"/>
        <w:snapToGrid w:val="0"/>
        <w:spacing w:before="120" w:beforeLines="50" w:after="120" w:afterLines="50" w:line="30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7.3  </w:t>
      </w:r>
      <w:r>
        <w:rPr>
          <w:rFonts w:hint="eastAsia" w:ascii="方正仿宋_GBK" w:hAnsi="Times New Roman" w:eastAsia="方正仿宋_GBK"/>
          <w:b w:val="0"/>
          <w:sz w:val="21"/>
          <w:szCs w:val="21"/>
        </w:rPr>
        <w:t>户外招牌电气设计</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7.3.1 </w:t>
      </w:r>
      <w:r>
        <w:rPr>
          <w:rFonts w:hint="eastAsia" w:ascii="方正仿宋_GBK" w:eastAsia="方正仿宋_GBK"/>
        </w:rPr>
        <w:t xml:space="preserve"> </w:t>
      </w:r>
      <w:r>
        <w:rPr>
          <w:rFonts w:hint="eastAsia" w:ascii="方正仿宋_GBK" w:eastAsia="方正仿宋_GBK" w:hAnsiTheme="minorEastAsia"/>
        </w:rPr>
        <w:t>户外招牌设施的用电应以低压供电为主，照明电器箱内应设隔离开关，配电线路应装设短路保护、过负载保护和接地故障保护，电器设计应符合</w:t>
      </w:r>
      <w:r>
        <w:rPr>
          <w:rFonts w:hint="eastAsia" w:ascii="方正仿宋_GBK" w:eastAsia="方正仿宋_GBK"/>
        </w:rPr>
        <w:t>GB 50054</w:t>
      </w:r>
      <w:r>
        <w:rPr>
          <w:rFonts w:hint="eastAsia" w:ascii="方正仿宋_GBK" w:eastAsia="方正仿宋_GBK" w:hAnsiTheme="minorEastAsia"/>
        </w:rPr>
        <w:t>和</w:t>
      </w:r>
      <w:r>
        <w:rPr>
          <w:rFonts w:hint="eastAsia" w:ascii="方正仿宋_GBK" w:eastAsia="方正仿宋_GBK"/>
        </w:rPr>
        <w:t>JGJ 16</w:t>
      </w:r>
      <w:r>
        <w:rPr>
          <w:rFonts w:hint="eastAsia" w:ascii="方正仿宋_GBK" w:eastAsia="方正仿宋_GBK" w:hAnsiTheme="minorEastAsia"/>
        </w:rPr>
        <w:t>的有关规定。</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7.3.2 </w:t>
      </w:r>
      <w:r>
        <w:rPr>
          <w:rFonts w:hint="eastAsia" w:ascii="方正仿宋_GBK" w:eastAsia="方正仿宋_GBK"/>
        </w:rPr>
        <w:t xml:space="preserve"> </w:t>
      </w:r>
      <w:r>
        <w:rPr>
          <w:rFonts w:hint="eastAsia" w:ascii="方正仿宋_GBK" w:eastAsia="方正仿宋_GBK" w:hAnsiTheme="minorEastAsia"/>
        </w:rPr>
        <w:t>户外招牌设施的照明电路系统应可靠接地，照明设计应符合</w:t>
      </w:r>
      <w:r>
        <w:rPr>
          <w:rFonts w:hint="eastAsia" w:ascii="方正仿宋_GBK" w:eastAsia="方正仿宋_GBK"/>
        </w:rPr>
        <w:t>GB 50034</w:t>
      </w:r>
      <w:r>
        <w:rPr>
          <w:rFonts w:hint="eastAsia" w:ascii="方正仿宋_GBK" w:eastAsia="方正仿宋_GBK" w:hAnsiTheme="minorEastAsia"/>
        </w:rPr>
        <w:t>有关规定。公共场所设置的户外招牌设施配电线路中应装置漏电保护，且沿街户外招牌设施应单独设置接地装置。</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7.3.3 </w:t>
      </w:r>
      <w:r>
        <w:rPr>
          <w:rFonts w:hint="eastAsia" w:ascii="方正仿宋_GBK" w:eastAsia="方正仿宋_GBK"/>
        </w:rPr>
        <w:t xml:space="preserve"> </w:t>
      </w:r>
      <w:r>
        <w:rPr>
          <w:rFonts w:hint="eastAsia" w:ascii="方正仿宋_GBK" w:eastAsia="方正仿宋_GBK" w:hAnsiTheme="minorEastAsia"/>
        </w:rPr>
        <w:t>户外招牌设施的照明灯具、电器元件（变压器、接触器、熔断器、漏电开关等）及电线电缆的安全性能应符合</w:t>
      </w:r>
      <w:r>
        <w:rPr>
          <w:rFonts w:hint="eastAsia" w:ascii="方正仿宋_GBK" w:eastAsia="方正仿宋_GBK"/>
        </w:rPr>
        <w:t>GB 7000.203</w:t>
      </w:r>
      <w:r>
        <w:rPr>
          <w:rFonts w:hint="eastAsia" w:ascii="方正仿宋_GBK" w:eastAsia="方正仿宋_GBK" w:hAnsiTheme="minorEastAsia"/>
        </w:rPr>
        <w:t>和相关行业规定的要求。</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7.3.4 </w:t>
      </w:r>
      <w:r>
        <w:rPr>
          <w:rFonts w:hint="eastAsia" w:ascii="方正仿宋_GBK" w:eastAsia="方正仿宋_GBK" w:hAnsiTheme="minorEastAsia"/>
        </w:rPr>
        <w:t xml:space="preserve"> 进线电缆应穿于镀锌钢质护套管内，且在管内不应有接头；照明灯线应穿于绝缘护套管内，分路处应设置接线盒。</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7.3.5</w:t>
      </w:r>
      <w:r>
        <w:rPr>
          <w:rFonts w:hint="eastAsia" w:ascii="方正仿宋_GBK" w:eastAsia="方正仿宋_GBK"/>
        </w:rPr>
        <w:t xml:space="preserve">  </w:t>
      </w:r>
      <w:r>
        <w:rPr>
          <w:rFonts w:hint="eastAsia" w:ascii="方正仿宋_GBK" w:eastAsia="方正仿宋_GBK" w:hAnsiTheme="minorEastAsia"/>
        </w:rPr>
        <w:t>采用泛光照明等外置光源形式的户外招牌，其直接照射范围应控制在户外招牌的看板范围内。</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 xml:space="preserve">7.3.6 </w:t>
      </w:r>
      <w:r>
        <w:rPr>
          <w:rFonts w:hint="eastAsia" w:ascii="方正仿宋_GBK" w:eastAsia="方正仿宋_GBK"/>
        </w:rPr>
        <w:t xml:space="preserve"> </w:t>
      </w:r>
      <w:r>
        <w:rPr>
          <w:rFonts w:hint="eastAsia" w:ascii="方正仿宋_GBK" w:eastAsia="方正仿宋_GBK" w:hAnsiTheme="minorEastAsia"/>
        </w:rPr>
        <w:t>在保证光照强度与均匀度的情况下，鼓励采用高光效的节能产品和节能设计。</w:t>
      </w:r>
    </w:p>
    <w:p>
      <w:pPr>
        <w:pStyle w:val="4"/>
        <w:keepNext w:val="0"/>
        <w:keepLines w:val="0"/>
        <w:adjustRightInd w:val="0"/>
        <w:snapToGrid w:val="0"/>
        <w:spacing w:before="120" w:beforeLines="50" w:after="120" w:afterLines="50" w:line="300" w:lineRule="exact"/>
        <w:jc w:val="center"/>
        <w:rPr>
          <w:rFonts w:ascii="方正仿宋_GBK" w:hAnsi="Times New Roman" w:eastAsia="方正仿宋_GBK"/>
          <w:b w:val="0"/>
          <w:sz w:val="21"/>
          <w:szCs w:val="21"/>
        </w:rPr>
      </w:pPr>
      <w:r>
        <w:rPr>
          <w:rFonts w:hint="eastAsia" w:ascii="方正仿宋_GBK" w:hAnsi="Times New Roman" w:eastAsia="方正仿宋_GBK"/>
          <w:sz w:val="21"/>
          <w:szCs w:val="21"/>
        </w:rPr>
        <w:t xml:space="preserve">7.4  </w:t>
      </w:r>
      <w:r>
        <w:rPr>
          <w:rFonts w:hint="eastAsia" w:ascii="方正仿宋_GBK" w:hAnsi="Times New Roman" w:eastAsia="方正仿宋_GBK"/>
          <w:b w:val="0"/>
          <w:sz w:val="21"/>
          <w:szCs w:val="21"/>
        </w:rPr>
        <w:t>户外招牌防雷设计</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7.4.1</w:t>
      </w:r>
      <w:r>
        <w:rPr>
          <w:rFonts w:hint="eastAsia" w:ascii="方正仿宋_GBK" w:eastAsia="方正仿宋_GBK"/>
        </w:rPr>
        <w:t xml:space="preserve">  </w:t>
      </w:r>
      <w:r>
        <w:rPr>
          <w:rFonts w:hint="eastAsia" w:ascii="方正仿宋_GBK" w:eastAsia="方正仿宋_GBK" w:hAnsiTheme="minorEastAsia"/>
        </w:rPr>
        <w:t>户外招牌的防雷装置（包括接内器、引下线、接地装置、过电压保护及其它连接导体）应根据所处的防雷环境进行设计；防雷设计中应具有防止直接雷、感应雷和雷电波侵入的措施。</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7.4.2</w:t>
      </w:r>
      <w:r>
        <w:rPr>
          <w:rFonts w:hint="eastAsia" w:ascii="方正仿宋_GBK" w:eastAsia="方正仿宋_GBK"/>
        </w:rPr>
        <w:t xml:space="preserve">  </w:t>
      </w:r>
      <w:r>
        <w:rPr>
          <w:rFonts w:hint="eastAsia" w:ascii="方正仿宋_GBK" w:eastAsia="方正仿宋_GBK" w:hAnsiTheme="minorEastAsia"/>
        </w:rPr>
        <w:t>落地型招牌应可靠接地，除安装在受保护的避雷带、避雷网内外，其钢结构框架、金属面板、钢结构柱体均应作防雷设计。</w:t>
      </w:r>
    </w:p>
    <w:p>
      <w:pPr>
        <w:pStyle w:val="157"/>
        <w:widowControl w:val="0"/>
        <w:adjustRightInd w:val="0"/>
        <w:snapToGrid w:val="0"/>
        <w:spacing w:line="300" w:lineRule="exact"/>
        <w:jc w:val="both"/>
        <w:outlineLvl w:val="9"/>
        <w:rPr>
          <w:rFonts w:ascii="方正仿宋_GBK" w:eastAsia="方正仿宋_GBK"/>
        </w:rPr>
      </w:pPr>
      <w:r>
        <w:rPr>
          <w:rFonts w:hint="eastAsia" w:ascii="方正仿宋_GBK" w:eastAsia="方正仿宋_GBK"/>
          <w:b/>
        </w:rPr>
        <w:t>7.4.3</w:t>
      </w:r>
      <w:r>
        <w:rPr>
          <w:rFonts w:hint="eastAsia" w:ascii="方正仿宋_GBK" w:eastAsia="方正仿宋_GBK"/>
        </w:rPr>
        <w:t xml:space="preserve">  </w:t>
      </w:r>
      <w:r>
        <w:rPr>
          <w:rFonts w:hint="eastAsia" w:ascii="方正仿宋_GBK" w:eastAsia="方正仿宋_GBK" w:hAnsiTheme="minorEastAsia"/>
        </w:rPr>
        <w:t>依附于建筑物（或构筑物）墙面的户外招牌，应将其钢结构框架、金属面板与该建筑物（或构筑物）的避雷带、避雷网、引下线作多处电焊连接，保证其接地电阻值不大于</w:t>
      </w:r>
      <w:r>
        <w:rPr>
          <w:rFonts w:hint="eastAsia" w:ascii="方正仿宋_GBK" w:eastAsia="方正仿宋_GBK"/>
        </w:rPr>
        <w:t>4Ω</w:t>
      </w:r>
      <w:r>
        <w:rPr>
          <w:rFonts w:hint="eastAsia" w:ascii="方正仿宋_GBK" w:eastAsia="方正仿宋_GBK" w:hAnsiTheme="minorEastAsia"/>
        </w:rPr>
        <w:t>，否则应增设接地装置。</w:t>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bookmarkStart w:id="67" w:name="C"/>
      <w:bookmarkEnd w:id="67"/>
      <w:bookmarkStart w:id="68" w:name="_Toc26964923"/>
      <w:r>
        <w:rPr>
          <w:rFonts w:ascii="Times New Roman" w:hAnsi="Times New Roman" w:eastAsia="宋体"/>
          <w:sz w:val="30"/>
          <w:szCs w:val="30"/>
        </w:rPr>
        <w:t>8  户外招牌设施制作</w:t>
      </w:r>
      <w:bookmarkEnd w:id="68"/>
    </w:p>
    <w:p>
      <w:pPr>
        <w:pStyle w:val="157"/>
        <w:widowControl w:val="0"/>
        <w:adjustRightInd w:val="0"/>
        <w:snapToGrid w:val="0"/>
        <w:spacing w:line="320" w:lineRule="exact"/>
        <w:jc w:val="both"/>
        <w:outlineLvl w:val="9"/>
        <w:rPr>
          <w:rFonts w:ascii="Times New Roman" w:eastAsiaTheme="minorEastAsia"/>
        </w:rPr>
      </w:pPr>
    </w:p>
    <w:p>
      <w:pPr>
        <w:pStyle w:val="157"/>
        <w:widowControl w:val="0"/>
        <w:adjustRightInd w:val="0"/>
        <w:snapToGrid w:val="0"/>
        <w:spacing w:line="440" w:lineRule="exact"/>
        <w:jc w:val="both"/>
        <w:outlineLvl w:val="9"/>
        <w:rPr>
          <w:rFonts w:ascii="方正仿宋_GBK" w:eastAsia="方正仿宋_GBK"/>
        </w:rPr>
      </w:pPr>
      <w:r>
        <w:rPr>
          <w:rFonts w:ascii="Times New Roman" w:eastAsiaTheme="minorEastAsia"/>
          <w:b/>
        </w:rPr>
        <w:t>8.0.1</w:t>
      </w:r>
      <w:r>
        <w:rPr>
          <w:rFonts w:ascii="Times New Roman" w:eastAsiaTheme="minorEastAsia"/>
        </w:rPr>
        <w:t>   </w:t>
      </w:r>
      <w:r>
        <w:rPr>
          <w:rFonts w:ascii="方正仿宋_GBK" w:eastAsia="方正仿宋_GBK"/>
        </w:rPr>
        <w:t>钢材质量应符合GB/T 700、 GB/T 1591和GB/T 699的规定，当采用其他牌号钢以及耐侯碳素结构钢和高耐侯结构钢时，应符合现行有关标准的规定并应附有质量证明书。</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 xml:space="preserve">8.0.2  </w:t>
      </w:r>
      <w:r>
        <w:rPr>
          <w:rFonts w:ascii="方正仿宋_GBK" w:eastAsia="方正仿宋_GBK"/>
        </w:rPr>
        <w:t>户外招牌的表层材料宜采用不宜腐蚀的材料，当采用木质材料（木档、胶合板）作表层材料时，应按照GB 50005的规定进行防腐、防蛀处理。采用内置光源的户外招牌的表层材料及底板还应考虑阻燃要求。</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8.0.3   </w:t>
      </w:r>
      <w:r>
        <w:rPr>
          <w:rFonts w:ascii="方正仿宋_GBK" w:eastAsia="方正仿宋_GBK"/>
        </w:rPr>
        <w:t>户外招牌设施钢结构构件加工制作与焊接，应符合GB 50205的相关规定。焊条、焊剂、药芯焊丝等在使用前，应按其产品说明书及焊接工艺文件的规定进行烘焙和存放。</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8.0.4  </w:t>
      </w:r>
      <w:r>
        <w:rPr>
          <w:rFonts w:ascii="方正仿宋_GBK" w:eastAsia="方正仿宋_GBK"/>
        </w:rPr>
        <w:t xml:space="preserve"> 钢构件采用防腐涂料涂装时，构件的防锈等级应达到GB/T 8923（所有部分）中的Sa2级或St2级的要求；钢构件采用热浸镀锌法时，应符合GB/T 13912的相关规定。</w:t>
      </w:r>
    </w:p>
    <w:p>
      <w:pPr>
        <w:widowControl/>
        <w:spacing w:line="440" w:lineRule="exact"/>
        <w:jc w:val="left"/>
        <w:rPr>
          <w:rFonts w:ascii="方正仿宋_GBK" w:eastAsia="方正仿宋_GBK"/>
          <w:color w:val="auto"/>
          <w:kern w:val="0"/>
          <w:sz w:val="21"/>
          <w:szCs w:val="21"/>
        </w:rPr>
      </w:pPr>
      <w:r>
        <w:rPr>
          <w:rFonts w:ascii="方正仿宋_GBK" w:eastAsia="方正仿宋_GBK"/>
          <w:color w:val="auto"/>
          <w:kern w:val="0"/>
          <w:sz w:val="21"/>
          <w:szCs w:val="21"/>
        </w:rPr>
        <w:br w:type="page"/>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bookmarkStart w:id="69" w:name="D"/>
      <w:bookmarkEnd w:id="69"/>
      <w:bookmarkStart w:id="70" w:name="_Toc26964924"/>
      <w:r>
        <w:rPr>
          <w:rFonts w:ascii="Times New Roman" w:hAnsi="Times New Roman" w:eastAsia="宋体"/>
          <w:sz w:val="30"/>
          <w:szCs w:val="30"/>
        </w:rPr>
        <w:t>9  安装与施工</w:t>
      </w:r>
      <w:bookmarkEnd w:id="70"/>
    </w:p>
    <w:p>
      <w:pPr>
        <w:pStyle w:val="157"/>
        <w:widowControl w:val="0"/>
        <w:adjustRightInd w:val="0"/>
        <w:snapToGrid w:val="0"/>
        <w:spacing w:line="320" w:lineRule="exact"/>
        <w:jc w:val="both"/>
        <w:outlineLvl w:val="9"/>
        <w:rPr>
          <w:rFonts w:ascii="Times New Roman" w:eastAsiaTheme="minorEastAsia"/>
        </w:rPr>
      </w:pP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9.0.1  </w:t>
      </w:r>
      <w:r>
        <w:rPr>
          <w:rFonts w:ascii="方正仿宋_GBK" w:eastAsia="方正仿宋_GBK"/>
        </w:rPr>
        <w:t xml:space="preserve"> 户外招牌构建与墙体的固定应采用化学锚栓、化学植筋或预埋构件的连接形式，安装施工应按照JGJ 145的相关规定执行，安装后应进行抗拉拔性能试验。</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 xml:space="preserve">9.0.2   </w:t>
      </w:r>
      <w:r>
        <w:rPr>
          <w:rFonts w:ascii="方正仿宋_GBK" w:eastAsia="方正仿宋_GBK"/>
        </w:rPr>
        <w:t>采用化学锚栓、化学植筋进行锚固时，应穿过墙面装饰面层或屋面保护层，锚固于砼结构内，不应在装饰面层或保温层上进行锚固。</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9.0.3 </w:t>
      </w:r>
      <w:r>
        <w:rPr>
          <w:rFonts w:ascii="方正仿宋_GBK" w:eastAsia="方正仿宋_GBK"/>
        </w:rPr>
        <w:t>  墙面结构为砖墙，应采用细石砼预埋件或采用隐蔽型夹板构造，亦可采用其他加固措施。对强度较低的墙面，应对附着的墙体进行强度验算并采取特殊加固措施。</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 xml:space="preserve">9.0.4  </w:t>
      </w:r>
      <w:r>
        <w:rPr>
          <w:rFonts w:ascii="方正仿宋_GBK" w:eastAsia="方正仿宋_GBK"/>
        </w:rPr>
        <w:t> 锚栓安装时，招牌所有者应进行现场监督，安装完成后应按JGJ 145的相关规定进行抗拉拔性能实验，抗拉拔性能实验结果纳入安全检测报告。</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 xml:space="preserve">9.0.5 </w:t>
      </w:r>
      <w:r>
        <w:rPr>
          <w:rFonts w:ascii="方正仿宋_GBK" w:eastAsia="方正仿宋_GBK"/>
        </w:rPr>
        <w:t>  附着于建筑物墙面的户外招牌设施安装时，应搭设安全围护设施及施工脚手架，安装过程中应采取可靠的安全防范措施，高空作业应执行JGJ 80的规定，六级风以上不应施工。</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 xml:space="preserve">9.0.6   </w:t>
      </w:r>
      <w:r>
        <w:rPr>
          <w:rFonts w:ascii="方正仿宋_GBK" w:eastAsia="方正仿宋_GBK"/>
        </w:rPr>
        <w:t>户外招牌与高、低压线及通讯电缆等各类管线保持一定的安全距离，应符合GB 50289的规定。</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9.0.7  </w:t>
      </w:r>
      <w:r>
        <w:rPr>
          <w:rFonts w:ascii="方正仿宋_GBK" w:eastAsia="方正仿宋_GBK"/>
        </w:rPr>
        <w:t xml:space="preserve"> 户外招牌的灯具、配电控制箱的安装应符合GB 50303的规定，接地装置的施工应符合GB 50169的规定，装饰霓虹灯管户外招牌的安装应符合GB/T 19653的规定。</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9.0.8  </w:t>
      </w:r>
      <w:r>
        <w:rPr>
          <w:rFonts w:ascii="方正仿宋_GBK" w:eastAsia="方正仿宋_GBK"/>
        </w:rPr>
        <w:t xml:space="preserve"> 电气线路应采用防水、防老化的绝缘等级电线，接头应采用接线柱、压接帽等形式。安装于户外的招牌，其电线的连接不应使用黑包布等室内用器材。</w:t>
      </w:r>
    </w:p>
    <w:p>
      <w:pPr>
        <w:pStyle w:val="157"/>
        <w:widowControl w:val="0"/>
        <w:adjustRightInd w:val="0"/>
        <w:snapToGrid w:val="0"/>
        <w:spacing w:line="440" w:lineRule="exact"/>
        <w:jc w:val="both"/>
        <w:outlineLvl w:val="9"/>
        <w:rPr>
          <w:rFonts w:ascii="方正仿宋_GBK" w:eastAsia="方正仿宋_GBK"/>
        </w:rPr>
      </w:pPr>
      <w:r>
        <w:rPr>
          <w:rFonts w:ascii="方正仿宋_GBK" w:eastAsia="方正仿宋_GBK"/>
          <w:b/>
        </w:rPr>
        <w:t>9.0.9  </w:t>
      </w:r>
      <w:r>
        <w:rPr>
          <w:rFonts w:ascii="方正仿宋_GBK" w:eastAsia="方正仿宋_GBK"/>
        </w:rPr>
        <w:t xml:space="preserve"> 内置光源的户外招牌灯箱，灯具的布线不应贴敷于灯具及构架外表，且不应敷设在高温灯具的上部，电线应穿于护套管内。</w:t>
      </w:r>
      <w:r>
        <w:rPr>
          <w:rFonts w:ascii="方正仿宋_GBK" w:eastAsia="方正仿宋_GBK"/>
        </w:rPr>
        <w:br w:type="page"/>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bookmarkStart w:id="71" w:name="E"/>
      <w:bookmarkEnd w:id="71"/>
      <w:bookmarkStart w:id="72" w:name="_Toc26964925"/>
      <w:r>
        <w:rPr>
          <w:rFonts w:ascii="Times New Roman" w:hAnsi="Times New Roman" w:eastAsia="宋体"/>
          <w:sz w:val="30"/>
          <w:szCs w:val="30"/>
        </w:rPr>
        <w:t>10  维护与保养</w:t>
      </w:r>
      <w:bookmarkEnd w:id="72"/>
    </w:p>
    <w:p>
      <w:pPr>
        <w:pStyle w:val="157"/>
        <w:widowControl w:val="0"/>
        <w:adjustRightInd w:val="0"/>
        <w:snapToGrid w:val="0"/>
        <w:spacing w:line="320" w:lineRule="exact"/>
        <w:jc w:val="both"/>
        <w:outlineLvl w:val="9"/>
        <w:rPr>
          <w:rFonts w:ascii="Times New Roman" w:eastAsiaTheme="minorEastAsia"/>
        </w:rPr>
      </w:pP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10.0.1 </w:t>
      </w:r>
      <w:r>
        <w:rPr>
          <w:rFonts w:hint="eastAsia" w:ascii="方正仿宋_GBK" w:eastAsia="方正仿宋_GBK"/>
        </w:rPr>
        <w:t xml:space="preserve">  </w:t>
      </w:r>
      <w:r>
        <w:rPr>
          <w:rFonts w:hint="eastAsia" w:ascii="方正仿宋_GBK" w:eastAsia="方正仿宋_GBK" w:hAnsiTheme="minorEastAsia"/>
        </w:rPr>
        <w:t>户外招牌的维护与保养由设置方负责，陈旧、损坏时应及时更新、修复。</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10.0.2  </w:t>
      </w:r>
      <w:r>
        <w:rPr>
          <w:rFonts w:hint="eastAsia" w:ascii="方正仿宋_GBK" w:eastAsia="方正仿宋_GBK"/>
        </w:rPr>
        <w:t xml:space="preserve"> </w:t>
      </w:r>
      <w:r>
        <w:rPr>
          <w:rFonts w:hint="eastAsia" w:ascii="方正仿宋_GBK" w:eastAsia="方正仿宋_GBK" w:hAnsiTheme="minorEastAsia"/>
        </w:rPr>
        <w:t>户外招牌日常维护与保养要求如下：</w:t>
      </w:r>
      <w:r>
        <w:rPr>
          <w:rFonts w:hint="eastAsia" w:ascii="方正仿宋_GBK" w:eastAsia="方正仿宋_GBK"/>
        </w:rPr>
        <w:t> </w:t>
      </w:r>
    </w:p>
    <w:p>
      <w:pPr>
        <w:pStyle w:val="157"/>
        <w:widowControl w:val="0"/>
        <w:adjustRightInd w:val="0"/>
        <w:snapToGrid w:val="0"/>
        <w:spacing w:line="440" w:lineRule="exact"/>
        <w:ind w:firstLine="421" w:firstLineChars="200"/>
        <w:jc w:val="both"/>
        <w:outlineLvl w:val="9"/>
        <w:rPr>
          <w:rFonts w:ascii="方正仿宋_GBK" w:eastAsia="方正仿宋_GBK"/>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spacing w:val="6"/>
        </w:rPr>
        <w:t>对户外招牌钢结构防腐保养应每年进行一次，发现有锈蚀、油漆脱落</w:t>
      </w:r>
      <w:r>
        <w:rPr>
          <w:rFonts w:hint="eastAsia" w:ascii="方正仿宋_GBK" w:eastAsia="方正仿宋_GBK" w:hAnsiTheme="minorEastAsia"/>
        </w:rPr>
        <w:t>、龟裂、风化等现象，应进行清理、除锈、修复和重新涂装。</w:t>
      </w:r>
    </w:p>
    <w:p>
      <w:pPr>
        <w:pStyle w:val="157"/>
        <w:widowControl w:val="0"/>
        <w:adjustRightInd w:val="0"/>
        <w:snapToGrid w:val="0"/>
        <w:spacing w:line="440" w:lineRule="exact"/>
        <w:ind w:firstLine="421" w:firstLineChars="200"/>
        <w:jc w:val="both"/>
        <w:outlineLvl w:val="9"/>
        <w:rPr>
          <w:rFonts w:ascii="方正仿宋_GBK" w:eastAsia="方正仿宋_GBK"/>
        </w:rPr>
      </w:pPr>
      <w:r>
        <w:rPr>
          <w:rFonts w:hint="eastAsia" w:ascii="方正仿宋_GBK" w:eastAsia="方正仿宋_GBK"/>
          <w:b/>
        </w:rPr>
        <w:t>（2</w:t>
      </w:r>
      <w:r>
        <w:rPr>
          <w:rFonts w:hint="eastAsia" w:ascii="方正仿宋_GBK" w:eastAsia="方正仿宋_GBK" w:hAnsiTheme="minorEastAsia"/>
          <w:b/>
        </w:rPr>
        <w:t>）</w:t>
      </w:r>
      <w:r>
        <w:rPr>
          <w:rFonts w:hint="eastAsia" w:ascii="方正仿宋_GBK" w:eastAsia="方正仿宋_GBK"/>
          <w:b/>
        </w:rPr>
        <w:t> </w:t>
      </w:r>
      <w:r>
        <w:rPr>
          <w:rFonts w:hint="eastAsia" w:ascii="方正仿宋_GBK" w:eastAsia="方正仿宋_GBK" w:hAnsiTheme="minorEastAsia"/>
        </w:rPr>
        <w:t>当涂层表面光泽失去达</w:t>
      </w:r>
      <w:r>
        <w:rPr>
          <w:rFonts w:hint="eastAsia" w:ascii="方正仿宋_GBK" w:eastAsia="方正仿宋_GBK"/>
        </w:rPr>
        <w:t>80%</w:t>
      </w:r>
      <w:r>
        <w:rPr>
          <w:rFonts w:hint="eastAsia" w:ascii="方正仿宋_GBK" w:eastAsia="方正仿宋_GBK" w:hAnsiTheme="minorEastAsia"/>
        </w:rPr>
        <w:t>、表面粗糙、风化龟裂达</w:t>
      </w:r>
      <w:r>
        <w:rPr>
          <w:rFonts w:hint="eastAsia" w:ascii="方正仿宋_GBK" w:eastAsia="方正仿宋_GBK"/>
        </w:rPr>
        <w:t>25%</w:t>
      </w:r>
      <w:r>
        <w:rPr>
          <w:rFonts w:hint="eastAsia" w:ascii="方正仿宋_GBK" w:eastAsia="方正仿宋_GBK" w:hAnsiTheme="minorEastAsia"/>
        </w:rPr>
        <w:t>和漆膜起壳时，应及时维护。</w:t>
      </w:r>
    </w:p>
    <w:p>
      <w:pPr>
        <w:pStyle w:val="157"/>
        <w:widowControl w:val="0"/>
        <w:adjustRightInd w:val="0"/>
        <w:snapToGrid w:val="0"/>
        <w:spacing w:line="440" w:lineRule="exact"/>
        <w:ind w:firstLine="421" w:firstLineChars="200"/>
        <w:jc w:val="both"/>
        <w:outlineLvl w:val="9"/>
        <w:rPr>
          <w:rFonts w:ascii="方正仿宋_GBK" w:eastAsia="方正仿宋_GBK" w:hAnsiTheme="minorEastAsia"/>
        </w:rPr>
      </w:pPr>
      <w:r>
        <w:rPr>
          <w:rFonts w:hint="eastAsia" w:ascii="方正仿宋_GBK" w:eastAsia="方正仿宋_GBK"/>
          <w:b/>
        </w:rPr>
        <w:t>（3</w:t>
      </w:r>
      <w:r>
        <w:rPr>
          <w:rFonts w:hint="eastAsia" w:ascii="方正仿宋_GBK" w:eastAsia="方正仿宋_GBK" w:hAnsiTheme="minorEastAsia"/>
          <w:b/>
        </w:rPr>
        <w:t>）</w:t>
      </w:r>
      <w:r>
        <w:rPr>
          <w:rFonts w:hint="eastAsia" w:ascii="方正仿宋_GBK" w:eastAsia="方正仿宋_GBK" w:hAnsiTheme="minorEastAsia"/>
        </w:rPr>
        <w:t>对钢</w:t>
      </w:r>
      <w:r>
        <w:rPr>
          <w:rFonts w:hint="eastAsia" w:ascii="方正仿宋_GBK" w:eastAsia="方正仿宋_GBK" w:hAnsiTheme="minorEastAsia"/>
          <w:spacing w:val="4"/>
        </w:rPr>
        <w:t>结构构件连接点（焊缝、螺栓、锚栓）应每年检查一次，发现节点松动或焊缝有裂痕，应</w:t>
      </w:r>
      <w:r>
        <w:rPr>
          <w:rFonts w:hint="eastAsia" w:ascii="方正仿宋_GBK" w:eastAsia="方正仿宋_GBK" w:hAnsiTheme="minorEastAsia"/>
        </w:rPr>
        <w:t>及时加固、修复和重新焊接。</w:t>
      </w:r>
    </w:p>
    <w:p>
      <w:pPr>
        <w:pStyle w:val="157"/>
        <w:widowControl w:val="0"/>
        <w:adjustRightInd w:val="0"/>
        <w:snapToGrid w:val="0"/>
        <w:spacing w:line="440" w:lineRule="exact"/>
        <w:ind w:firstLine="421" w:firstLineChars="200"/>
        <w:jc w:val="both"/>
        <w:outlineLvl w:val="9"/>
        <w:rPr>
          <w:rFonts w:ascii="方正仿宋_GBK" w:eastAsia="方正仿宋_GBK" w:hAnsiTheme="minorEastAsia"/>
        </w:rPr>
      </w:pPr>
      <w:r>
        <w:rPr>
          <w:rFonts w:hint="eastAsia" w:ascii="方正仿宋_GBK" w:eastAsia="方正仿宋_GBK"/>
          <w:b/>
        </w:rPr>
        <w:t>（4</w:t>
      </w:r>
      <w:r>
        <w:rPr>
          <w:rFonts w:hint="eastAsia" w:ascii="方正仿宋_GBK" w:eastAsia="方正仿宋_GBK" w:hAnsiTheme="minorEastAsia"/>
          <w:b/>
        </w:rPr>
        <w:t>）</w:t>
      </w:r>
      <w:r>
        <w:rPr>
          <w:rFonts w:hint="eastAsia" w:ascii="方正仿宋_GBK" w:eastAsia="方正仿宋_GBK" w:hAnsiTheme="minorEastAsia"/>
        </w:rPr>
        <w:t>户外招牌设施面板采用木质结构（木档、胶合板）时，应每</w:t>
      </w:r>
      <w:r>
        <w:rPr>
          <w:rFonts w:hint="eastAsia" w:ascii="方正仿宋_GBK" w:eastAsia="方正仿宋_GBK"/>
        </w:rPr>
        <w:t>3</w:t>
      </w:r>
      <w:r>
        <w:rPr>
          <w:rFonts w:hint="eastAsia" w:ascii="方正仿宋_GBK" w:eastAsia="方正仿宋_GBK" w:hAnsiTheme="minorEastAsia"/>
        </w:rPr>
        <w:t>个月检查一次，发现固定螺栓及木质材料腐烂时，应及时予以修补及更换。</w:t>
      </w:r>
    </w:p>
    <w:p>
      <w:pPr>
        <w:pStyle w:val="157"/>
        <w:widowControl w:val="0"/>
        <w:adjustRightInd w:val="0"/>
        <w:snapToGrid w:val="0"/>
        <w:spacing w:line="440" w:lineRule="exact"/>
        <w:ind w:firstLine="421" w:firstLineChars="200"/>
        <w:jc w:val="both"/>
        <w:outlineLvl w:val="9"/>
        <w:rPr>
          <w:rFonts w:ascii="方正仿宋_GBK" w:eastAsia="方正仿宋_GBK" w:hAnsiTheme="minorEastAsia"/>
        </w:rPr>
      </w:pPr>
      <w:r>
        <w:rPr>
          <w:rFonts w:hint="eastAsia" w:ascii="方正仿宋_GBK" w:eastAsia="方正仿宋_GBK"/>
          <w:b/>
        </w:rPr>
        <w:t>（5</w:t>
      </w:r>
      <w:r>
        <w:rPr>
          <w:rFonts w:hint="eastAsia" w:ascii="方正仿宋_GBK" w:eastAsia="方正仿宋_GBK" w:hAnsiTheme="minorEastAsia"/>
          <w:b/>
        </w:rPr>
        <w:t>）</w:t>
      </w:r>
      <w:r>
        <w:rPr>
          <w:rFonts w:hint="eastAsia" w:ascii="方正仿宋_GBK" w:eastAsia="方正仿宋_GBK" w:hAnsiTheme="minorEastAsia"/>
        </w:rPr>
        <w:t>户外招牌设施的照明、供电、电器控制设备、防雷装置应每月维护一次，一旦出现电线绝缘材料损坏、导线外露时要及时包扎好，确保不发生漏电现象。</w:t>
      </w:r>
    </w:p>
    <w:p>
      <w:pPr>
        <w:pStyle w:val="157"/>
        <w:widowControl w:val="0"/>
        <w:adjustRightInd w:val="0"/>
        <w:snapToGrid w:val="0"/>
        <w:spacing w:line="440" w:lineRule="exact"/>
        <w:ind w:firstLine="421" w:firstLineChars="200"/>
        <w:jc w:val="both"/>
        <w:outlineLvl w:val="9"/>
        <w:rPr>
          <w:rFonts w:ascii="方正仿宋_GBK" w:eastAsia="方正仿宋_GBK" w:hAnsiTheme="minorEastAsia"/>
        </w:rPr>
      </w:pPr>
      <w:r>
        <w:rPr>
          <w:rFonts w:hint="eastAsia" w:ascii="方正仿宋_GBK" w:eastAsia="方正仿宋_GBK"/>
          <w:b/>
        </w:rPr>
        <w:t>（6</w:t>
      </w:r>
      <w:r>
        <w:rPr>
          <w:rFonts w:hint="eastAsia" w:ascii="方正仿宋_GBK" w:eastAsia="方正仿宋_GBK" w:hAnsiTheme="minorEastAsia"/>
          <w:b/>
        </w:rPr>
        <w:t>）</w:t>
      </w:r>
      <w:r>
        <w:rPr>
          <w:rFonts w:hint="eastAsia" w:ascii="方正仿宋_GBK" w:eastAsia="方正仿宋_GBK" w:hAnsiTheme="minorEastAsia"/>
          <w:spacing w:val="6"/>
        </w:rPr>
        <w:t>户外招牌应无残缺破损、污迹和严重褪色，电子显示屏（牌）、灯箱等形式的招牌，应</w:t>
      </w:r>
      <w:r>
        <w:rPr>
          <w:rFonts w:hint="eastAsia" w:ascii="方正仿宋_GBK" w:eastAsia="方正仿宋_GBK" w:hAnsiTheme="minorEastAsia"/>
        </w:rPr>
        <w:t>保持显示完好。如有残缺破损、污迹和严重褪色，或显示不完整，应于一周内维修或更换。</w:t>
      </w:r>
    </w:p>
    <w:p>
      <w:pPr>
        <w:pStyle w:val="157"/>
        <w:widowControl w:val="0"/>
        <w:adjustRightInd w:val="0"/>
        <w:snapToGrid w:val="0"/>
        <w:spacing w:line="440" w:lineRule="exact"/>
        <w:ind w:firstLine="421" w:firstLineChars="200"/>
        <w:jc w:val="both"/>
        <w:outlineLvl w:val="9"/>
        <w:rPr>
          <w:rFonts w:ascii="方正仿宋_GBK" w:eastAsia="方正仿宋_GBK"/>
        </w:rPr>
      </w:pPr>
      <w:r>
        <w:rPr>
          <w:rFonts w:hint="eastAsia" w:ascii="方正仿宋_GBK" w:eastAsia="方正仿宋_GBK"/>
          <w:b/>
        </w:rPr>
        <w:t>（7</w:t>
      </w:r>
      <w:r>
        <w:rPr>
          <w:rFonts w:hint="eastAsia" w:ascii="方正仿宋_GBK" w:eastAsia="方正仿宋_GBK" w:hAnsiTheme="minorEastAsia"/>
          <w:b/>
        </w:rPr>
        <w:t>）</w:t>
      </w:r>
      <w:r>
        <w:rPr>
          <w:rFonts w:hint="eastAsia" w:ascii="方正仿宋_GBK" w:eastAsia="方正仿宋_GBK" w:hAnsiTheme="minorEastAsia"/>
          <w:spacing w:val="6"/>
        </w:rPr>
        <w:t>经城市管理部门裁定为破损残旧的户外招牌，招牌设置人应于一周内维修</w:t>
      </w:r>
      <w:r>
        <w:rPr>
          <w:rFonts w:hint="eastAsia" w:ascii="方正仿宋_GBK" w:eastAsia="方正仿宋_GBK" w:hAnsiTheme="minorEastAsia"/>
        </w:rPr>
        <w:t>翻新。</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10.0.3  </w:t>
      </w:r>
      <w:r>
        <w:rPr>
          <w:rFonts w:hint="eastAsia" w:ascii="方正仿宋_GBK" w:eastAsia="方正仿宋_GBK"/>
        </w:rPr>
        <w:t xml:space="preserve"> </w:t>
      </w:r>
      <w:r>
        <w:rPr>
          <w:rFonts w:hint="eastAsia" w:ascii="方正仿宋_GBK" w:eastAsia="方正仿宋_GBK" w:hAnsiTheme="minorEastAsia"/>
        </w:rPr>
        <w:t>户外招牌特殊期间的维护与保养要求如下：</w:t>
      </w:r>
    </w:p>
    <w:p>
      <w:pPr>
        <w:pStyle w:val="157"/>
        <w:widowControl w:val="0"/>
        <w:adjustRightInd w:val="0"/>
        <w:snapToGrid w:val="0"/>
        <w:spacing w:line="440" w:lineRule="exact"/>
        <w:ind w:firstLine="421" w:firstLineChars="200"/>
        <w:jc w:val="both"/>
        <w:outlineLvl w:val="9"/>
        <w:rPr>
          <w:rFonts w:ascii="方正仿宋_GBK" w:eastAsia="方正仿宋_GBK" w:hAnsiTheme="minorEastAsia"/>
        </w:rPr>
      </w:pPr>
      <w:r>
        <w:rPr>
          <w:rFonts w:hint="eastAsia" w:ascii="方正仿宋_GBK" w:eastAsia="方正仿宋_GBK"/>
          <w:b/>
        </w:rPr>
        <w:t>（1</w:t>
      </w:r>
      <w:r>
        <w:rPr>
          <w:rFonts w:hint="eastAsia" w:ascii="方正仿宋_GBK" w:eastAsia="方正仿宋_GBK" w:hAnsiTheme="minorEastAsia"/>
          <w:b/>
        </w:rPr>
        <w:t>）</w:t>
      </w:r>
      <w:r>
        <w:rPr>
          <w:rFonts w:hint="eastAsia" w:ascii="方正仿宋_GBK" w:eastAsia="方正仿宋_GBK" w:hAnsiTheme="minorEastAsia"/>
        </w:rPr>
        <w:t>遇大风、大雪、暴雨等恶劣天气时，应对户外招牌钢结构进行突击检修和维护保养，对钢结构面板连接的牢固程度进行加固处理，重点是结构强度、刚度和结构节、连接焊缝、螺栓、地脚螺栓（锚栓）。</w:t>
      </w:r>
    </w:p>
    <w:p>
      <w:pPr>
        <w:pStyle w:val="157"/>
        <w:widowControl w:val="0"/>
        <w:adjustRightInd w:val="0"/>
        <w:snapToGrid w:val="0"/>
        <w:spacing w:line="440" w:lineRule="exact"/>
        <w:ind w:firstLine="421" w:firstLineChars="200"/>
        <w:jc w:val="both"/>
        <w:outlineLvl w:val="9"/>
        <w:rPr>
          <w:rFonts w:ascii="方正仿宋_GBK" w:eastAsia="方正仿宋_GBK"/>
        </w:rPr>
      </w:pPr>
      <w:r>
        <w:rPr>
          <w:rFonts w:hint="eastAsia" w:ascii="方正仿宋_GBK" w:eastAsia="方正仿宋_GBK"/>
          <w:b/>
        </w:rPr>
        <w:t>（2</w:t>
      </w:r>
      <w:r>
        <w:rPr>
          <w:rFonts w:hint="eastAsia" w:ascii="方正仿宋_GBK" w:eastAsia="方正仿宋_GBK" w:hAnsiTheme="minorEastAsia"/>
          <w:b/>
        </w:rPr>
        <w:t>）</w:t>
      </w:r>
      <w:r>
        <w:rPr>
          <w:rFonts w:hint="eastAsia" w:ascii="方正仿宋_GBK" w:eastAsia="方正仿宋_GBK" w:hAnsiTheme="minorEastAsia"/>
        </w:rPr>
        <w:t>在大风雷雨季节，应检查避雷设施和电器安全保险设置，保证安全、正常使用。</w:t>
      </w:r>
    </w:p>
    <w:p>
      <w:pPr>
        <w:widowControl/>
        <w:jc w:val="left"/>
        <w:rPr>
          <w:rFonts w:ascii="方正仿宋_GBK" w:eastAsia="方正仿宋_GBK"/>
          <w:color w:val="auto"/>
          <w:kern w:val="0"/>
          <w:szCs w:val="21"/>
        </w:rPr>
      </w:pPr>
      <w:bookmarkStart w:id="73" w:name="F"/>
      <w:bookmarkEnd w:id="73"/>
      <w:bookmarkStart w:id="74" w:name="_Toc26964926"/>
      <w:r>
        <w:rPr>
          <w:rFonts w:hint="eastAsia" w:ascii="方正仿宋_GBK" w:eastAsia="方正仿宋_GBK"/>
          <w:color w:val="auto"/>
          <w:szCs w:val="21"/>
        </w:rPr>
        <w:br w:type="page"/>
      </w:r>
    </w:p>
    <w:p>
      <w:pPr>
        <w:pStyle w:val="4"/>
        <w:keepNext w:val="0"/>
        <w:keepLines w:val="0"/>
        <w:adjustRightInd w:val="0"/>
        <w:snapToGrid w:val="0"/>
        <w:spacing w:before="120" w:beforeLines="50" w:after="120" w:afterLines="50" w:line="320" w:lineRule="exact"/>
        <w:jc w:val="center"/>
        <w:rPr>
          <w:rFonts w:ascii="Times New Roman" w:hAnsi="Times New Roman" w:eastAsia="宋体"/>
          <w:sz w:val="30"/>
          <w:szCs w:val="30"/>
        </w:rPr>
      </w:pPr>
      <w:r>
        <w:rPr>
          <w:rFonts w:ascii="Times New Roman" w:hAnsi="Times New Roman" w:eastAsia="宋体"/>
          <w:sz w:val="30"/>
          <w:szCs w:val="30"/>
        </w:rPr>
        <w:t>11</w:t>
      </w:r>
      <w:r>
        <w:rPr>
          <w:rFonts w:hint="eastAsia" w:ascii="Times New Roman" w:hAnsi="Times New Roman" w:eastAsia="宋体"/>
          <w:sz w:val="30"/>
          <w:szCs w:val="30"/>
        </w:rPr>
        <w:t xml:space="preserve">  </w:t>
      </w:r>
      <w:r>
        <w:rPr>
          <w:rFonts w:ascii="Times New Roman" w:hAnsi="Times New Roman" w:eastAsia="宋体"/>
          <w:sz w:val="30"/>
          <w:szCs w:val="30"/>
        </w:rPr>
        <w:t>验收与检测</w:t>
      </w:r>
      <w:bookmarkEnd w:id="74"/>
    </w:p>
    <w:p>
      <w:pPr>
        <w:pStyle w:val="157"/>
        <w:widowControl w:val="0"/>
        <w:adjustRightInd w:val="0"/>
        <w:snapToGrid w:val="0"/>
        <w:spacing w:line="400" w:lineRule="exact"/>
        <w:jc w:val="both"/>
        <w:outlineLvl w:val="9"/>
        <w:rPr>
          <w:rFonts w:ascii="Times New Roman" w:eastAsiaTheme="minorEastAsia"/>
        </w:rPr>
      </w:pP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11.0.1  </w:t>
      </w:r>
      <w:r>
        <w:rPr>
          <w:rFonts w:hint="eastAsia" w:ascii="方正仿宋_GBK" w:eastAsia="方正仿宋_GBK"/>
        </w:rPr>
        <w:t xml:space="preserve"> </w:t>
      </w:r>
      <w:r>
        <w:rPr>
          <w:rFonts w:hint="eastAsia" w:ascii="方正仿宋_GBK" w:eastAsia="方正仿宋_GBK" w:hAnsiTheme="minorEastAsia"/>
        </w:rPr>
        <w:t>户外招牌应定期进行结构安全的技术检测，以确保结构在使用期内的安全。</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11.0.2 </w:t>
      </w:r>
      <w:r>
        <w:rPr>
          <w:rFonts w:hint="eastAsia" w:ascii="方正仿宋_GBK" w:eastAsia="方正仿宋_GBK"/>
        </w:rPr>
        <w:t xml:space="preserve">  </w:t>
      </w:r>
      <w:r>
        <w:rPr>
          <w:rFonts w:hint="eastAsia" w:ascii="方正仿宋_GBK" w:eastAsia="方正仿宋_GBK" w:hAnsiTheme="minorEastAsia"/>
        </w:rPr>
        <w:t>经检测符合结构技术及安全标准的户外招牌，方可转入下一循环的使用；经安全检测不合格的户外招牌，责令限期整改，整改后再向检测机构申请复检。</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11.0.3 </w:t>
      </w:r>
      <w:r>
        <w:rPr>
          <w:rFonts w:hint="eastAsia" w:ascii="方正仿宋_GBK" w:eastAsia="方正仿宋_GBK"/>
        </w:rPr>
        <w:t xml:space="preserve">  </w:t>
      </w:r>
      <w:r>
        <w:rPr>
          <w:rFonts w:hint="eastAsia" w:ascii="方正仿宋_GBK" w:eastAsia="方正仿宋_GBK" w:hAnsiTheme="minorEastAsia"/>
        </w:rPr>
        <w:t>户外招牌安全检测应由已取得所有户外招牌各分项检测项目计量认证的专业检测单位进行；检测人员应具有相应检测项目职业资格证及登高架设作业证。</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11.0.4 </w:t>
      </w:r>
      <w:r>
        <w:rPr>
          <w:rFonts w:hint="eastAsia" w:ascii="方正仿宋_GBK" w:eastAsia="方正仿宋_GBK"/>
        </w:rPr>
        <w:t xml:space="preserve">  </w:t>
      </w:r>
      <w:r>
        <w:rPr>
          <w:rFonts w:hint="eastAsia" w:ascii="方正仿宋_GBK" w:eastAsia="方正仿宋_GBK" w:hAnsiTheme="minorEastAsia"/>
        </w:rPr>
        <w:t>户外招牌钢结构的验收应符合设计施工图要求，并应按</w:t>
      </w:r>
      <w:r>
        <w:rPr>
          <w:rFonts w:hint="eastAsia" w:ascii="方正仿宋_GBK" w:eastAsia="方正仿宋_GBK"/>
        </w:rPr>
        <w:t>GB 50205</w:t>
      </w:r>
      <w:r>
        <w:rPr>
          <w:rFonts w:hint="eastAsia" w:ascii="方正仿宋_GBK" w:eastAsia="方正仿宋_GBK" w:hAnsiTheme="minorEastAsia"/>
        </w:rPr>
        <w:t>的有关规定执行。</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11.0.5 </w:t>
      </w:r>
      <w:r>
        <w:rPr>
          <w:rFonts w:hint="eastAsia" w:ascii="方正仿宋_GBK" w:eastAsia="方正仿宋_GBK"/>
        </w:rPr>
        <w:t xml:space="preserve">  </w:t>
      </w:r>
      <w:r>
        <w:rPr>
          <w:rFonts w:hint="eastAsia" w:ascii="方正仿宋_GBK" w:eastAsia="方正仿宋_GBK" w:hAnsiTheme="minorEastAsia"/>
        </w:rPr>
        <w:t>户外招牌设施的基础和混凝土结构的验收应符合设计施工图要求，并应按</w:t>
      </w:r>
      <w:r>
        <w:rPr>
          <w:rFonts w:hint="eastAsia" w:ascii="方正仿宋_GBK" w:eastAsia="方正仿宋_GBK"/>
        </w:rPr>
        <w:t>GB 50202</w:t>
      </w:r>
      <w:r>
        <w:rPr>
          <w:rFonts w:hint="eastAsia" w:ascii="方正仿宋_GBK" w:eastAsia="方正仿宋_GBK" w:hAnsiTheme="minorEastAsia"/>
        </w:rPr>
        <w:t>和</w:t>
      </w:r>
      <w:r>
        <w:rPr>
          <w:rFonts w:hint="eastAsia" w:ascii="方正仿宋_GBK" w:eastAsia="方正仿宋_GBK"/>
        </w:rPr>
        <w:t>GB 50204</w:t>
      </w:r>
      <w:r>
        <w:rPr>
          <w:rFonts w:hint="eastAsia" w:ascii="方正仿宋_GBK" w:eastAsia="方正仿宋_GBK" w:hAnsiTheme="minorEastAsia"/>
        </w:rPr>
        <w:t>的有关规定执行。</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11.0.6 </w:t>
      </w:r>
      <w:r>
        <w:rPr>
          <w:rFonts w:hint="eastAsia" w:ascii="方正仿宋_GBK" w:eastAsia="方正仿宋_GBK"/>
        </w:rPr>
        <w:t xml:space="preserve">  </w:t>
      </w:r>
      <w:r>
        <w:rPr>
          <w:rFonts w:hint="eastAsia" w:ascii="方正仿宋_GBK" w:eastAsia="方正仿宋_GBK" w:hAnsiTheme="minorEastAsia"/>
        </w:rPr>
        <w:t>户外招牌设施电气工程的验收应按照</w:t>
      </w:r>
      <w:r>
        <w:rPr>
          <w:rFonts w:hint="eastAsia" w:ascii="方正仿宋_GBK" w:eastAsia="方正仿宋_GBK"/>
        </w:rPr>
        <w:t>GB 50303</w:t>
      </w:r>
      <w:r>
        <w:rPr>
          <w:rFonts w:hint="eastAsia" w:ascii="方正仿宋_GBK" w:eastAsia="方正仿宋_GBK" w:hAnsiTheme="minorEastAsia"/>
        </w:rPr>
        <w:t>和</w:t>
      </w:r>
      <w:r>
        <w:rPr>
          <w:rFonts w:hint="eastAsia" w:ascii="方正仿宋_GBK" w:eastAsia="方正仿宋_GBK"/>
        </w:rPr>
        <w:t>GB 50169</w:t>
      </w:r>
      <w:r>
        <w:rPr>
          <w:rFonts w:hint="eastAsia" w:ascii="方正仿宋_GBK" w:eastAsia="方正仿宋_GBK" w:hAnsiTheme="minorEastAsia"/>
        </w:rPr>
        <w:t>的规定执行。</w:t>
      </w:r>
    </w:p>
    <w:p>
      <w:pPr>
        <w:pStyle w:val="157"/>
        <w:widowControl w:val="0"/>
        <w:adjustRightInd w:val="0"/>
        <w:snapToGrid w:val="0"/>
        <w:spacing w:line="440" w:lineRule="exact"/>
        <w:jc w:val="both"/>
        <w:outlineLvl w:val="9"/>
        <w:rPr>
          <w:rFonts w:ascii="方正仿宋_GBK" w:eastAsia="方正仿宋_GBK"/>
        </w:rPr>
      </w:pPr>
      <w:r>
        <w:rPr>
          <w:rFonts w:hint="eastAsia" w:ascii="方正仿宋_GBK" w:eastAsia="方正仿宋_GBK"/>
          <w:b/>
        </w:rPr>
        <w:t>11.0.7 </w:t>
      </w:r>
      <w:r>
        <w:rPr>
          <w:rFonts w:hint="eastAsia" w:ascii="方正仿宋_GBK" w:eastAsia="方正仿宋_GBK"/>
        </w:rPr>
        <w:t xml:space="preserve">  </w:t>
      </w:r>
      <w:r>
        <w:rPr>
          <w:rFonts w:hint="eastAsia" w:ascii="方正仿宋_GBK" w:eastAsia="方正仿宋_GBK" w:hAnsiTheme="minorEastAsia"/>
        </w:rPr>
        <w:t>验收资料及提交的文件合并为户外招牌设施工程档案，由设置者和政府委托的主管单位相关部门保存。</w:t>
      </w:r>
      <w:r>
        <w:rPr>
          <w:rFonts w:hint="eastAsia" w:ascii="方正仿宋_GBK" w:eastAsia="方正仿宋_GBK"/>
        </w:rPr>
        <w:t> </w:t>
      </w:r>
    </w:p>
    <w:p>
      <w:pPr>
        <w:adjustRightInd w:val="0"/>
        <w:snapToGrid w:val="0"/>
        <w:spacing w:line="320" w:lineRule="exact"/>
        <w:rPr>
          <w:rFonts w:eastAsiaTheme="minorEastAsia"/>
          <w:color w:val="auto"/>
          <w:szCs w:val="21"/>
        </w:rPr>
      </w:pPr>
      <w:r>
        <w:rPr>
          <w:rFonts w:eastAsiaTheme="minorEastAsia"/>
          <w:color w:val="auto"/>
          <w:szCs w:val="21"/>
        </w:rPr>
        <w:br w:type="page"/>
      </w:r>
    </w:p>
    <w:p>
      <w:pPr>
        <w:pStyle w:val="4"/>
        <w:keepNext w:val="0"/>
        <w:keepLines w:val="0"/>
        <w:adjustRightInd w:val="0"/>
        <w:snapToGrid w:val="0"/>
        <w:spacing w:before="120" w:beforeLines="50" w:after="120" w:afterLines="50" w:line="440" w:lineRule="exact"/>
        <w:jc w:val="center"/>
        <w:rPr>
          <w:rFonts w:ascii="方正小标宋_GBK" w:hAnsi="Times New Roman" w:eastAsia="方正小标宋_GBK"/>
          <w:b w:val="0"/>
          <w:sz w:val="44"/>
          <w:szCs w:val="44"/>
        </w:rPr>
      </w:pPr>
      <w:bookmarkStart w:id="75" w:name="_Toc26964927"/>
      <w:r>
        <w:rPr>
          <w:rFonts w:hint="eastAsia" w:ascii="方正小标宋_GBK" w:hAnsi="Times New Roman" w:eastAsia="方正小标宋_GBK"/>
          <w:b w:val="0"/>
          <w:sz w:val="44"/>
          <w:szCs w:val="44"/>
        </w:rPr>
        <w:t>用词说明</w:t>
      </w:r>
      <w:bookmarkEnd w:id="75"/>
    </w:p>
    <w:p/>
    <w:p>
      <w:pPr>
        <w:adjustRightInd w:val="0"/>
        <w:snapToGrid w:val="0"/>
        <w:spacing w:line="480" w:lineRule="exact"/>
        <w:rPr>
          <w:rFonts w:ascii="方正仿宋_GBK" w:eastAsia="方正仿宋_GBK"/>
          <w:color w:val="auto"/>
          <w:sz w:val="28"/>
          <w:szCs w:val="28"/>
        </w:rPr>
      </w:pPr>
      <w:r>
        <w:rPr>
          <w:rFonts w:hint="eastAsia" w:ascii="方正仿宋_GBK" w:eastAsia="方正仿宋_GBK"/>
          <w:b/>
          <w:color w:val="auto"/>
          <w:sz w:val="28"/>
          <w:szCs w:val="28"/>
        </w:rPr>
        <w:t xml:space="preserve">1 </w:t>
      </w:r>
      <w:r>
        <w:rPr>
          <w:rFonts w:hint="eastAsia" w:ascii="方正仿宋_GBK" w:eastAsia="方正仿宋_GBK"/>
          <w:color w:val="auto"/>
          <w:sz w:val="28"/>
          <w:szCs w:val="28"/>
        </w:rPr>
        <w:t>.</w:t>
      </w:r>
      <w:r>
        <w:rPr>
          <w:rFonts w:hint="eastAsia" w:ascii="方正仿宋_GBK" w:eastAsia="方正仿宋_GBK" w:hAnsiTheme="minorEastAsia"/>
          <w:color w:val="auto"/>
          <w:sz w:val="28"/>
          <w:szCs w:val="28"/>
        </w:rPr>
        <w:t>为便于在执行本标准条文时区别对待，对要求严格程度不同的用词，说明如下：</w:t>
      </w:r>
    </w:p>
    <w:p>
      <w:pPr>
        <w:adjustRightInd w:val="0"/>
        <w:snapToGrid w:val="0"/>
        <w:spacing w:line="480" w:lineRule="exact"/>
        <w:ind w:firstLine="562" w:firstLineChars="200"/>
        <w:rPr>
          <w:rFonts w:ascii="方正仿宋_GBK" w:eastAsia="方正仿宋_GBK"/>
          <w:color w:val="auto"/>
          <w:sz w:val="28"/>
          <w:szCs w:val="28"/>
        </w:rPr>
      </w:pPr>
      <w:r>
        <w:rPr>
          <w:rFonts w:hint="eastAsia" w:ascii="方正仿宋_GBK" w:eastAsia="方正仿宋_GBK"/>
          <w:b/>
          <w:color w:val="auto"/>
          <w:sz w:val="28"/>
          <w:szCs w:val="28"/>
        </w:rPr>
        <w:t>（1</w:t>
      </w:r>
      <w:r>
        <w:rPr>
          <w:rFonts w:hint="eastAsia" w:ascii="方正仿宋_GBK" w:eastAsia="方正仿宋_GBK" w:hAnsiTheme="minorEastAsia"/>
          <w:b/>
          <w:color w:val="auto"/>
          <w:sz w:val="28"/>
          <w:szCs w:val="28"/>
        </w:rPr>
        <w:t>）</w:t>
      </w:r>
      <w:r>
        <w:rPr>
          <w:rFonts w:hint="eastAsia" w:ascii="方正仿宋_GBK" w:eastAsia="方正仿宋_GBK" w:hAnsiTheme="minorEastAsia"/>
          <w:color w:val="auto"/>
          <w:sz w:val="28"/>
          <w:szCs w:val="28"/>
        </w:rPr>
        <w:t>表示很严格，非这样做不可的用词：</w:t>
      </w:r>
    </w:p>
    <w:p>
      <w:pPr>
        <w:adjustRightInd w:val="0"/>
        <w:snapToGrid w:val="0"/>
        <w:spacing w:line="480" w:lineRule="exact"/>
        <w:ind w:firstLine="560" w:firstLineChars="200"/>
        <w:rPr>
          <w:rFonts w:ascii="方正仿宋_GBK" w:eastAsia="方正仿宋_GBK"/>
          <w:color w:val="auto"/>
          <w:sz w:val="28"/>
          <w:szCs w:val="28"/>
        </w:rPr>
      </w:pPr>
      <w:r>
        <w:rPr>
          <w:rFonts w:hint="eastAsia" w:ascii="方正仿宋_GBK" w:eastAsia="方正仿宋_GBK" w:hAnsiTheme="minorEastAsia"/>
          <w:color w:val="auto"/>
          <w:sz w:val="28"/>
          <w:szCs w:val="28"/>
        </w:rPr>
        <w:t>正面词采用“必须”，反面词</w:t>
      </w:r>
      <w:r>
        <w:rPr>
          <w:rFonts w:hint="eastAsia" w:ascii="方正仿宋_GBK" w:eastAsia="方正仿宋_GBK" w:hAnsiTheme="minorEastAsia"/>
          <w:color w:val="auto"/>
          <w:sz w:val="28"/>
          <w:szCs w:val="28"/>
          <w:shd w:val="clear" w:color="auto" w:fill="FFFFFF"/>
        </w:rPr>
        <w:t>采用</w:t>
      </w:r>
      <w:r>
        <w:rPr>
          <w:rFonts w:hint="eastAsia" w:ascii="方正仿宋_GBK" w:eastAsia="方正仿宋_GBK" w:hAnsiTheme="minorEastAsia"/>
          <w:color w:val="auto"/>
          <w:sz w:val="28"/>
          <w:szCs w:val="28"/>
        </w:rPr>
        <w:t>“严禁”。</w:t>
      </w:r>
    </w:p>
    <w:p>
      <w:pPr>
        <w:adjustRightInd w:val="0"/>
        <w:snapToGrid w:val="0"/>
        <w:spacing w:line="480" w:lineRule="exact"/>
        <w:ind w:firstLine="562" w:firstLineChars="200"/>
        <w:rPr>
          <w:rFonts w:ascii="方正仿宋_GBK" w:eastAsia="方正仿宋_GBK"/>
          <w:color w:val="auto"/>
          <w:sz w:val="28"/>
          <w:szCs w:val="28"/>
        </w:rPr>
      </w:pPr>
      <w:r>
        <w:rPr>
          <w:rFonts w:hint="eastAsia" w:ascii="方正仿宋_GBK" w:eastAsia="方正仿宋_GBK"/>
          <w:b/>
          <w:color w:val="auto"/>
          <w:sz w:val="28"/>
          <w:szCs w:val="28"/>
        </w:rPr>
        <w:t>（2</w:t>
      </w:r>
      <w:r>
        <w:rPr>
          <w:rFonts w:hint="eastAsia" w:ascii="方正仿宋_GBK" w:eastAsia="方正仿宋_GBK" w:hAnsiTheme="minorEastAsia"/>
          <w:b/>
          <w:color w:val="auto"/>
          <w:sz w:val="28"/>
          <w:szCs w:val="28"/>
        </w:rPr>
        <w:t>）</w:t>
      </w:r>
      <w:r>
        <w:rPr>
          <w:rFonts w:hint="eastAsia" w:ascii="方正仿宋_GBK" w:eastAsia="方正仿宋_GBK" w:hAnsiTheme="minorEastAsia"/>
          <w:color w:val="auto"/>
          <w:sz w:val="28"/>
          <w:szCs w:val="28"/>
        </w:rPr>
        <w:t>表示严格，在正常情况下均应这样做的用词：</w:t>
      </w:r>
    </w:p>
    <w:p>
      <w:pPr>
        <w:adjustRightInd w:val="0"/>
        <w:snapToGrid w:val="0"/>
        <w:spacing w:line="480" w:lineRule="exact"/>
        <w:ind w:firstLine="560" w:firstLineChars="200"/>
        <w:rPr>
          <w:rFonts w:ascii="方正仿宋_GBK" w:eastAsia="方正仿宋_GBK"/>
          <w:color w:val="auto"/>
          <w:sz w:val="28"/>
          <w:szCs w:val="28"/>
        </w:rPr>
      </w:pPr>
      <w:r>
        <w:rPr>
          <w:rFonts w:hint="eastAsia" w:ascii="方正仿宋_GBK" w:eastAsia="方正仿宋_GBK" w:hAnsiTheme="minorEastAsia"/>
          <w:color w:val="auto"/>
          <w:sz w:val="28"/>
          <w:szCs w:val="28"/>
        </w:rPr>
        <w:t>正面词采用“应”，反面词采用“不应”或“不得”。</w:t>
      </w:r>
    </w:p>
    <w:p>
      <w:pPr>
        <w:adjustRightInd w:val="0"/>
        <w:snapToGrid w:val="0"/>
        <w:spacing w:line="480" w:lineRule="exact"/>
        <w:ind w:firstLine="562" w:firstLineChars="200"/>
        <w:rPr>
          <w:rFonts w:ascii="方正仿宋_GBK" w:eastAsia="方正仿宋_GBK"/>
          <w:color w:val="auto"/>
          <w:sz w:val="28"/>
          <w:szCs w:val="28"/>
        </w:rPr>
      </w:pPr>
      <w:r>
        <w:rPr>
          <w:rFonts w:hint="eastAsia" w:ascii="方正仿宋_GBK" w:eastAsia="方正仿宋_GBK"/>
          <w:b/>
          <w:color w:val="auto"/>
          <w:sz w:val="28"/>
          <w:szCs w:val="28"/>
        </w:rPr>
        <w:t>（3）</w:t>
      </w:r>
      <w:r>
        <w:rPr>
          <w:rFonts w:hint="eastAsia" w:ascii="方正仿宋_GBK" w:eastAsia="方正仿宋_GBK" w:hAnsiTheme="minorEastAsia"/>
          <w:color w:val="auto"/>
          <w:sz w:val="28"/>
          <w:szCs w:val="28"/>
        </w:rPr>
        <w:t>表示允许稍有选择，在条件许可时首先应这样做的用词：</w:t>
      </w:r>
    </w:p>
    <w:p>
      <w:pPr>
        <w:adjustRightInd w:val="0"/>
        <w:snapToGrid w:val="0"/>
        <w:spacing w:line="480" w:lineRule="exact"/>
        <w:ind w:firstLine="560" w:firstLineChars="200"/>
        <w:rPr>
          <w:rFonts w:ascii="方正仿宋_GBK" w:eastAsia="方正仿宋_GBK"/>
          <w:color w:val="auto"/>
          <w:sz w:val="28"/>
          <w:szCs w:val="28"/>
        </w:rPr>
      </w:pPr>
      <w:r>
        <w:rPr>
          <w:rFonts w:hint="eastAsia" w:ascii="方正仿宋_GBK" w:eastAsia="方正仿宋_GBK" w:hAnsiTheme="minorEastAsia"/>
          <w:color w:val="auto"/>
          <w:sz w:val="28"/>
          <w:szCs w:val="28"/>
        </w:rPr>
        <w:t>正面词采用“宜”，反面词采用“不宜”。</w:t>
      </w:r>
    </w:p>
    <w:p>
      <w:pPr>
        <w:adjustRightInd w:val="0"/>
        <w:snapToGrid w:val="0"/>
        <w:spacing w:line="480" w:lineRule="exact"/>
        <w:ind w:firstLine="562" w:firstLineChars="200"/>
        <w:rPr>
          <w:rFonts w:ascii="方正仿宋_GBK" w:eastAsia="方正仿宋_GBK"/>
          <w:color w:val="auto"/>
          <w:sz w:val="28"/>
          <w:szCs w:val="28"/>
        </w:rPr>
      </w:pPr>
      <w:r>
        <w:rPr>
          <w:rFonts w:hint="eastAsia" w:ascii="方正仿宋_GBK" w:eastAsia="方正仿宋_GBK"/>
          <w:b/>
          <w:color w:val="auto"/>
          <w:sz w:val="28"/>
          <w:szCs w:val="28"/>
        </w:rPr>
        <w:t>（4</w:t>
      </w:r>
      <w:r>
        <w:rPr>
          <w:rFonts w:hint="eastAsia" w:ascii="方正仿宋_GBK" w:eastAsia="方正仿宋_GBK" w:hAnsiTheme="minorEastAsia"/>
          <w:b/>
          <w:color w:val="auto"/>
          <w:sz w:val="28"/>
          <w:szCs w:val="28"/>
        </w:rPr>
        <w:t>）</w:t>
      </w:r>
      <w:r>
        <w:rPr>
          <w:rFonts w:hint="eastAsia" w:ascii="方正仿宋_GBK" w:eastAsia="方正仿宋_GBK" w:hAnsiTheme="minorEastAsia"/>
          <w:color w:val="auto"/>
          <w:spacing w:val="6"/>
          <w:sz w:val="28"/>
          <w:szCs w:val="28"/>
        </w:rPr>
        <w:t>表示有选择，在一定条件下可以这样做的用词，采用“可”。</w:t>
      </w:r>
    </w:p>
    <w:p>
      <w:pPr>
        <w:adjustRightInd w:val="0"/>
        <w:snapToGrid w:val="0"/>
        <w:spacing w:line="480" w:lineRule="exact"/>
        <w:rPr>
          <w:rFonts w:ascii="方正仿宋_GBK" w:eastAsia="方正仿宋_GBK"/>
          <w:color w:val="auto"/>
          <w:sz w:val="28"/>
          <w:szCs w:val="28"/>
        </w:rPr>
      </w:pPr>
      <w:r>
        <w:rPr>
          <w:rFonts w:hint="eastAsia" w:ascii="方正仿宋_GBK" w:eastAsia="方正仿宋_GBK"/>
          <w:b/>
          <w:color w:val="auto"/>
          <w:sz w:val="28"/>
          <w:szCs w:val="28"/>
        </w:rPr>
        <mc:AlternateContent>
          <mc:Choice Requires="wps">
            <w:drawing>
              <wp:anchor distT="0" distB="0" distL="114300" distR="114300" simplePos="0" relativeHeight="251663360" behindDoc="0" locked="0" layoutInCell="1" allowOverlap="1">
                <wp:simplePos x="0" y="0"/>
                <wp:positionH relativeFrom="column">
                  <wp:posOffset>1152525</wp:posOffset>
                </wp:positionH>
                <wp:positionV relativeFrom="paragraph">
                  <wp:posOffset>5949950</wp:posOffset>
                </wp:positionV>
                <wp:extent cx="1658620" cy="786765"/>
                <wp:effectExtent l="0" t="0" r="0" b="0"/>
                <wp:wrapNone/>
                <wp:docPr id="12" name="矩形 7"/>
                <wp:cNvGraphicFramePr/>
                <a:graphic xmlns:a="http://schemas.openxmlformats.org/drawingml/2006/main">
                  <a:graphicData uri="http://schemas.microsoft.com/office/word/2010/wordprocessingShape">
                    <wps:wsp>
                      <wps:cNvSpPr/>
                      <wps:spPr>
                        <a:xfrm>
                          <a:off x="0" y="0"/>
                          <a:ext cx="1658620" cy="786765"/>
                        </a:xfrm>
                        <a:prstGeom prst="rect">
                          <a:avLst/>
                        </a:prstGeom>
                        <a:solidFill>
                          <a:srgbClr val="FFFFFF"/>
                        </a:solidFill>
                        <a:ln w="9525">
                          <a:noFill/>
                        </a:ln>
                        <a:effectLst/>
                      </wps:spPr>
                      <wps:bodyPr upright="true"/>
                    </wps:wsp>
                  </a:graphicData>
                </a:graphic>
              </wp:anchor>
            </w:drawing>
          </mc:Choice>
          <mc:Fallback>
            <w:pict>
              <v:rect id="矩形 7" o:spid="_x0000_s1026" o:spt="1" style="position:absolute;left:0pt;margin-left:90.75pt;margin-top:468.5pt;height:61.95pt;width:130.6pt;z-index:251663360;mso-width-relative:page;mso-height-relative:page;" fillcolor="#FFFFFF" filled="t" stroked="f" coordsize="21600,21600" o:gfxdata="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LMauHTYAAAADAEAAA8AAAAAAAAAAQAgAAAAOAAAAGRycy9kb3ducmV2LnhtbFBLAQIU&#10;ABQAAAAIAIdO4kARQUe3pAEAACwDAAAOAAAAAAAAAAEAIAAAAD0BAABkcnMvZTJvRG9jLnhtbFBL&#10;BQYAAAAABgAGAFkBAABTBQAAAAA=&#10;">
                <v:fill on="t" focussize="0,0"/>
                <v:stroke on="f"/>
                <v:imagedata o:title=""/>
                <o:lock v:ext="edit" aspectratio="f"/>
              </v:rect>
            </w:pict>
          </mc:Fallback>
        </mc:AlternateContent>
      </w:r>
      <w:r>
        <w:rPr>
          <w:rFonts w:hint="eastAsia" w:ascii="方正仿宋_GBK" w:eastAsia="方正仿宋_GBK"/>
          <w:b/>
          <w:color w:val="auto"/>
          <w:sz w:val="28"/>
          <w:szCs w:val="28"/>
        </w:rPr>
        <w:t>2</w:t>
      </w:r>
      <w:r>
        <w:rPr>
          <w:rFonts w:hint="eastAsia" w:ascii="方正仿宋_GBK" w:eastAsia="方正仿宋_GBK"/>
          <w:color w:val="auto"/>
          <w:sz w:val="28"/>
          <w:szCs w:val="28"/>
        </w:rPr>
        <w:t>.</w:t>
      </w:r>
      <w:r>
        <w:rPr>
          <w:rFonts w:hint="eastAsia" w:ascii="方正仿宋_GBK" w:eastAsia="方正仿宋_GBK" w:hAnsiTheme="minorEastAsia"/>
          <w:color w:val="auto"/>
          <w:sz w:val="28"/>
          <w:szCs w:val="28"/>
        </w:rPr>
        <w:t>条文中指明应按其它有关标准执行的写法为：“应符合……的规定”或“应按……执行”。</w:t>
      </w:r>
    </w:p>
    <w:p>
      <w:pPr>
        <w:widowControl/>
        <w:spacing w:line="480" w:lineRule="exact"/>
        <w:jc w:val="left"/>
        <w:rPr>
          <w:rFonts w:ascii="方正仿宋_GBK" w:eastAsia="方正仿宋_GBK"/>
          <w:color w:val="auto"/>
          <w:sz w:val="28"/>
          <w:szCs w:val="28"/>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Style w:val="2"/>
        <w:rPr>
          <w:rFonts w:hint="default"/>
        </w:rPr>
      </w:pPr>
    </w:p>
    <w:p>
      <w:pPr>
        <w:pBdr>
          <w:bottom w:val="single" w:color="000000" w:sz="8" w:space="1"/>
        </w:pBdr>
        <w:spacing w:line="200" w:lineRule="exact"/>
        <w:rPr>
          <w:rFonts w:ascii="方正仿宋_GBK" w:eastAsia="方正仿宋_GBK"/>
          <w:bCs/>
          <w:color w:val="auto"/>
          <w:sz w:val="32"/>
          <w:szCs w:val="32"/>
        </w:rPr>
      </w:pPr>
    </w:p>
    <w:p>
      <w:pPr>
        <w:pBdr>
          <w:bottom w:val="single" w:color="000000" w:sz="8" w:space="1"/>
        </w:pBdr>
        <w:spacing w:line="200" w:lineRule="exact"/>
        <w:rPr>
          <w:rFonts w:ascii="方正仿宋_GBK" w:eastAsia="方正仿宋_GBK"/>
          <w:bCs/>
          <w:color w:val="auto"/>
          <w:sz w:val="32"/>
          <w:szCs w:val="32"/>
        </w:rPr>
      </w:pPr>
    </w:p>
    <w:p>
      <w:pPr>
        <w:pBdr>
          <w:bottom w:val="single" w:color="000000" w:sz="8" w:space="1"/>
        </w:pBdr>
        <w:spacing w:line="200" w:lineRule="exact"/>
        <w:rPr>
          <w:rFonts w:ascii="方正仿宋_GBK" w:eastAsia="方正仿宋_GBK"/>
          <w:bCs/>
          <w:color w:val="auto"/>
          <w:sz w:val="32"/>
          <w:szCs w:val="32"/>
        </w:rPr>
      </w:pPr>
    </w:p>
    <w:p>
      <w:pPr>
        <w:pBdr>
          <w:bottom w:val="single" w:color="auto" w:sz="4" w:space="0"/>
          <w:between w:val="single" w:color="auto" w:sz="4" w:space="1"/>
        </w:pBdr>
        <w:spacing w:line="600" w:lineRule="exact"/>
        <w:ind w:firstLine="131" w:firstLineChars="49"/>
        <w:rPr>
          <w:color w:val="auto"/>
        </w:rPr>
      </w:pPr>
      <w:r>
        <w:rPr>
          <w:rFonts w:hint="eastAsia" w:eastAsia="方正仿宋_GBK"/>
          <w:color w:val="auto"/>
          <w:spacing w:val="-10"/>
          <w:w w:val="90"/>
          <w:sz w:val="32"/>
          <w:szCs w:val="32"/>
        </w:rPr>
        <w:t>重庆市</w:t>
      </w:r>
      <w:r>
        <w:rPr>
          <w:rFonts w:eastAsia="方正仿宋_GBK"/>
          <w:color w:val="auto"/>
          <w:spacing w:val="-10"/>
          <w:w w:val="90"/>
          <w:sz w:val="32"/>
          <w:szCs w:val="32"/>
        </w:rPr>
        <w:t>巴南区</w:t>
      </w:r>
      <w:r>
        <w:rPr>
          <w:rFonts w:hint="eastAsia" w:eastAsia="方正仿宋_GBK"/>
          <w:color w:val="auto"/>
          <w:spacing w:val="-10"/>
          <w:w w:val="90"/>
          <w:sz w:val="32"/>
          <w:szCs w:val="32"/>
        </w:rPr>
        <w:t>城市综合管理工作领导小组</w:t>
      </w:r>
      <w:r>
        <w:rPr>
          <w:rFonts w:eastAsia="方正仿宋_GBK"/>
          <w:color w:val="auto"/>
          <w:spacing w:val="-10"/>
          <w:w w:val="90"/>
          <w:sz w:val="32"/>
          <w:szCs w:val="32"/>
        </w:rPr>
        <w:t xml:space="preserve">办公室 </w:t>
      </w:r>
      <w:r>
        <w:rPr>
          <w:rFonts w:hint="eastAsia" w:eastAsia="方正仿宋_GBK"/>
          <w:color w:val="auto"/>
          <w:spacing w:val="-10"/>
          <w:w w:val="90"/>
          <w:sz w:val="32"/>
          <w:szCs w:val="32"/>
        </w:rPr>
        <w:t xml:space="preserve">   </w:t>
      </w:r>
      <w:r>
        <w:rPr>
          <w:rFonts w:eastAsia="方正仿宋_GBK"/>
          <w:color w:val="auto"/>
          <w:spacing w:val="-10"/>
          <w:w w:val="90"/>
          <w:sz w:val="32"/>
          <w:szCs w:val="32"/>
        </w:rPr>
        <w:t>20</w:t>
      </w:r>
      <w:r>
        <w:rPr>
          <w:rFonts w:hint="eastAsia" w:eastAsia="方正仿宋_GBK"/>
          <w:color w:val="auto"/>
          <w:spacing w:val="-10"/>
          <w:w w:val="90"/>
          <w:sz w:val="32"/>
          <w:szCs w:val="32"/>
        </w:rPr>
        <w:t>22</w:t>
      </w:r>
      <w:r>
        <w:rPr>
          <w:rFonts w:eastAsia="方正仿宋_GBK"/>
          <w:color w:val="auto"/>
          <w:spacing w:val="-10"/>
          <w:w w:val="90"/>
          <w:sz w:val="32"/>
          <w:szCs w:val="32"/>
        </w:rPr>
        <w:t>年</w:t>
      </w:r>
      <w:r>
        <w:rPr>
          <w:rFonts w:hint="eastAsia" w:eastAsia="方正仿宋_GBK"/>
          <w:color w:val="auto"/>
          <w:spacing w:val="-10"/>
          <w:w w:val="90"/>
          <w:sz w:val="32"/>
          <w:szCs w:val="32"/>
        </w:rPr>
        <w:t>4</w:t>
      </w:r>
      <w:r>
        <w:rPr>
          <w:rFonts w:eastAsia="方正仿宋_GBK"/>
          <w:color w:val="auto"/>
          <w:spacing w:val="-10"/>
          <w:w w:val="90"/>
          <w:sz w:val="32"/>
          <w:szCs w:val="32"/>
        </w:rPr>
        <w:t>月</w:t>
      </w:r>
      <w:r>
        <w:rPr>
          <w:rFonts w:hint="eastAsia" w:eastAsia="方正仿宋_GBK"/>
          <w:color w:val="auto"/>
          <w:spacing w:val="-10"/>
          <w:w w:val="90"/>
          <w:sz w:val="32"/>
          <w:szCs w:val="32"/>
        </w:rPr>
        <w:t>12</w:t>
      </w:r>
      <w:r>
        <w:rPr>
          <w:rFonts w:eastAsia="方正仿宋_GBK"/>
          <w:color w:val="auto"/>
          <w:spacing w:val="-10"/>
          <w:w w:val="90"/>
          <w:sz w:val="32"/>
          <w:szCs w:val="32"/>
        </w:rPr>
        <w:t>日印发</w:t>
      </w:r>
    </w:p>
    <w:sectPr>
      <w:pgSz w:w="11906" w:h="16838"/>
      <w:pgMar w:top="2098" w:right="1474" w:bottom="1985" w:left="1588" w:header="851" w:footer="794" w:gutter="0"/>
      <w:pgNumType w:fmt="numberInDash" w:start="27"/>
      <w:cols w:space="720" w:num="1"/>
      <w:docGrid w:linePitch="579" w:charSpace="-17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Calibri Light">
    <w:altName w:val="DejaVu Sans"/>
    <w:panose1 w:val="00000000000000000000"/>
    <w:charset w:val="00"/>
    <w:family w:val="auto"/>
    <w:pitch w:val="default"/>
    <w:sig w:usb0="00000000" w:usb1="00000000" w:usb2="00000000"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小标宋_GBK">
    <w:panose1 w:val="02000000000000000000"/>
    <w:charset w:val="86"/>
    <w:family w:val="script"/>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书宋简体">
    <w:altName w:val="方正书宋_GBK"/>
    <w:panose1 w:val="00000000000000000000"/>
    <w:charset w:val="86"/>
    <w:family w:val="script"/>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8561729"/>
      <w:docPartObj>
        <w:docPartGallery w:val="autotext"/>
      </w:docPartObj>
    </w:sdtPr>
    <w:sdtEndPr>
      <w:rPr>
        <w:rFonts w:asciiTheme="minorEastAsia" w:hAnsiTheme="minorEastAsia" w:eastAsiaTheme="minorEastAsia"/>
        <w:color w:val="auto"/>
        <w:sz w:val="28"/>
        <w:szCs w:val="28"/>
      </w:rPr>
    </w:sdtEndPr>
    <w:sdtContent>
      <w:p>
        <w:pPr>
          <w:pStyle w:val="29"/>
          <w:jc w:val="right"/>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PAGE   \* MERGEFORMAT</w:instrText>
        </w:r>
        <w:r>
          <w:rPr>
            <w:rFonts w:asciiTheme="minorEastAsia" w:hAnsiTheme="minorEastAsia" w:eastAsiaTheme="minorEastAsia"/>
            <w:color w:val="auto"/>
            <w:sz w:val="28"/>
            <w:szCs w:val="28"/>
          </w:rPr>
          <w:fldChar w:fldCharType="separate"/>
        </w:r>
        <w:r>
          <w:rPr>
            <w:rFonts w:asciiTheme="minorEastAsia" w:hAnsiTheme="minorEastAsia" w:eastAsiaTheme="minorEastAsia"/>
            <w:color w:val="auto"/>
            <w:sz w:val="28"/>
            <w:szCs w:val="28"/>
            <w:lang w:val="zh-CN"/>
          </w:rPr>
          <w:t>-</w:t>
        </w:r>
        <w:r>
          <w:rPr>
            <w:rFonts w:asciiTheme="minorEastAsia" w:hAnsiTheme="minorEastAsia" w:eastAsiaTheme="minorEastAsia"/>
            <w:color w:val="auto"/>
            <w:sz w:val="28"/>
            <w:szCs w:val="28"/>
          </w:rPr>
          <w:t xml:space="preserve"> 5 -</w:t>
        </w:r>
        <w:r>
          <w:rPr>
            <w:rFonts w:asciiTheme="minorEastAsia" w:hAnsiTheme="minorEastAsia" w:eastAsiaTheme="minorEastAsia"/>
            <w:color w:val="auto"/>
            <w:sz w:val="28"/>
            <w:szCs w:val="28"/>
          </w:rPr>
          <w:fldChar w:fldCharType="end"/>
        </w:r>
      </w:p>
    </w:sdtContent>
  </w:sdt>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eastAsiaTheme="minorEastAsia"/>
        <w:color w:val="auto"/>
        <w:sz w:val="28"/>
        <w:szCs w:val="28"/>
      </w:rPr>
      <w:id w:val="-417411169"/>
      <w:docPartObj>
        <w:docPartGallery w:val="autotext"/>
      </w:docPartObj>
    </w:sdtPr>
    <w:sdtEndPr>
      <w:rPr>
        <w:rFonts w:asciiTheme="minorEastAsia" w:hAnsiTheme="minorEastAsia" w:eastAsiaTheme="minorEastAsia"/>
        <w:color w:val="auto"/>
        <w:sz w:val="28"/>
        <w:szCs w:val="28"/>
      </w:rPr>
    </w:sdtEndPr>
    <w:sdtContent>
      <w:p>
        <w:pPr>
          <w:pStyle w:val="29"/>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PAGE   \* MERGEFORMAT</w:instrText>
        </w:r>
        <w:r>
          <w:rPr>
            <w:rFonts w:asciiTheme="minorEastAsia" w:hAnsiTheme="minorEastAsia" w:eastAsiaTheme="minorEastAsia"/>
            <w:color w:val="auto"/>
            <w:sz w:val="28"/>
            <w:szCs w:val="28"/>
          </w:rPr>
          <w:fldChar w:fldCharType="separate"/>
        </w:r>
        <w:r>
          <w:rPr>
            <w:rFonts w:asciiTheme="minorEastAsia" w:hAnsiTheme="minorEastAsia" w:eastAsiaTheme="minorEastAsia"/>
            <w:color w:val="auto"/>
            <w:sz w:val="28"/>
            <w:szCs w:val="28"/>
            <w:lang w:val="zh-CN"/>
          </w:rPr>
          <w:t>-</w:t>
        </w:r>
        <w:r>
          <w:rPr>
            <w:rFonts w:asciiTheme="minorEastAsia" w:hAnsiTheme="minorEastAsia" w:eastAsiaTheme="minorEastAsia"/>
            <w:color w:val="auto"/>
            <w:sz w:val="28"/>
            <w:szCs w:val="28"/>
          </w:rPr>
          <w:t xml:space="preserve"> 4 -</w:t>
        </w:r>
        <w:r>
          <w:rPr>
            <w:rFonts w:asciiTheme="minorEastAsia" w:hAnsiTheme="minorEastAsia" w:eastAsiaTheme="minorEastAsia"/>
            <w:color w:val="auto"/>
            <w:sz w:val="28"/>
            <w:szCs w:val="28"/>
          </w:rPr>
          <w:fldChar w:fldCharType="end"/>
        </w:r>
      </w:p>
    </w:sdtContent>
  </w:sdt>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7257101"/>
      <w:docPartObj>
        <w:docPartGallery w:val="autotext"/>
      </w:docPartObj>
    </w:sdtPr>
    <w:sdtEndPr>
      <w:rPr>
        <w:rFonts w:asciiTheme="minorEastAsia" w:hAnsiTheme="minorEastAsia" w:eastAsiaTheme="minorEastAsia"/>
        <w:color w:val="auto"/>
        <w:sz w:val="28"/>
        <w:szCs w:val="28"/>
      </w:rPr>
    </w:sdtEndPr>
    <w:sdtContent>
      <w:p>
        <w:pPr>
          <w:pStyle w:val="29"/>
          <w:jc w:val="right"/>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fldChar w:fldCharType="begin"/>
        </w:r>
        <w:r>
          <w:rPr>
            <w:rFonts w:asciiTheme="minorEastAsia" w:hAnsiTheme="minorEastAsia" w:eastAsiaTheme="minorEastAsia"/>
            <w:color w:val="auto"/>
            <w:sz w:val="28"/>
            <w:szCs w:val="28"/>
          </w:rPr>
          <w:instrText xml:space="preserve">PAGE   \* MERGEFORMAT</w:instrText>
        </w:r>
        <w:r>
          <w:rPr>
            <w:rFonts w:asciiTheme="minorEastAsia" w:hAnsiTheme="minorEastAsia" w:eastAsiaTheme="minorEastAsia"/>
            <w:color w:val="auto"/>
            <w:sz w:val="28"/>
            <w:szCs w:val="28"/>
          </w:rPr>
          <w:fldChar w:fldCharType="separate"/>
        </w:r>
        <w:r>
          <w:rPr>
            <w:rFonts w:asciiTheme="minorEastAsia" w:hAnsiTheme="minorEastAsia" w:eastAsiaTheme="minorEastAsia"/>
            <w:color w:val="auto"/>
            <w:sz w:val="28"/>
            <w:szCs w:val="28"/>
            <w:lang w:val="zh-CN"/>
          </w:rPr>
          <w:t>-</w:t>
        </w:r>
        <w:r>
          <w:rPr>
            <w:rFonts w:asciiTheme="minorEastAsia" w:hAnsiTheme="minorEastAsia" w:eastAsiaTheme="minorEastAsia"/>
            <w:color w:val="auto"/>
            <w:sz w:val="28"/>
            <w:szCs w:val="28"/>
          </w:rPr>
          <w:t xml:space="preserve"> 43 -</w:t>
        </w:r>
        <w:r>
          <w:rPr>
            <w:rFonts w:asciiTheme="minorEastAsia" w:hAnsiTheme="minorEastAsia" w:eastAsiaTheme="minorEastAsia"/>
            <w:color w:val="auto"/>
            <w:sz w:val="28"/>
            <w:szCs w:val="28"/>
          </w:rPr>
          <w:fldChar w:fldCharType="end"/>
        </w:r>
      </w:p>
    </w:sdtContent>
  </w:sdt>
  <w:p>
    <w:pPr>
      <w:pStyle w:val="29"/>
      <w:jc w:val="center"/>
    </w:pPr>
  </w:p>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1058828"/>
      <w:docPartObj>
        <w:docPartGallery w:val="autotext"/>
      </w:docPartObj>
    </w:sdtPr>
    <w:sdtEndPr>
      <w:rPr>
        <w:rFonts w:asciiTheme="majorEastAsia" w:hAnsiTheme="majorEastAsia" w:eastAsiaTheme="majorEastAsia"/>
        <w:color w:val="auto"/>
        <w:sz w:val="28"/>
        <w:szCs w:val="28"/>
      </w:rPr>
    </w:sdtEndPr>
    <w:sdtContent>
      <w:p>
        <w:pPr>
          <w:pStyle w:val="29"/>
          <w:rPr>
            <w:rFonts w:asciiTheme="majorEastAsia" w:hAnsiTheme="majorEastAsia" w:eastAsiaTheme="majorEastAsia"/>
            <w:color w:val="auto"/>
            <w:sz w:val="28"/>
            <w:szCs w:val="28"/>
          </w:rPr>
        </w:pPr>
        <w:r>
          <w:rPr>
            <w:rFonts w:asciiTheme="majorEastAsia" w:hAnsiTheme="majorEastAsia" w:eastAsiaTheme="majorEastAsia"/>
            <w:color w:val="auto"/>
            <w:sz w:val="28"/>
            <w:szCs w:val="28"/>
          </w:rPr>
          <w:fldChar w:fldCharType="begin"/>
        </w:r>
        <w:r>
          <w:rPr>
            <w:rFonts w:asciiTheme="majorEastAsia" w:hAnsiTheme="majorEastAsia" w:eastAsiaTheme="majorEastAsia"/>
            <w:color w:val="auto"/>
            <w:sz w:val="28"/>
            <w:szCs w:val="28"/>
          </w:rPr>
          <w:instrText xml:space="preserve">PAGE   \* MERGEFORMAT</w:instrText>
        </w:r>
        <w:r>
          <w:rPr>
            <w:rFonts w:asciiTheme="majorEastAsia" w:hAnsiTheme="majorEastAsia" w:eastAsiaTheme="majorEastAsia"/>
            <w:color w:val="auto"/>
            <w:sz w:val="28"/>
            <w:szCs w:val="28"/>
          </w:rPr>
          <w:fldChar w:fldCharType="separate"/>
        </w:r>
        <w:r>
          <w:rPr>
            <w:rFonts w:asciiTheme="majorEastAsia" w:hAnsiTheme="majorEastAsia" w:eastAsiaTheme="majorEastAsia"/>
            <w:color w:val="auto"/>
            <w:sz w:val="28"/>
            <w:szCs w:val="28"/>
            <w:lang w:val="zh-CN"/>
          </w:rPr>
          <w:t>-</w:t>
        </w:r>
        <w:r>
          <w:rPr>
            <w:rFonts w:asciiTheme="majorEastAsia" w:hAnsiTheme="majorEastAsia" w:eastAsiaTheme="majorEastAsia"/>
            <w:color w:val="auto"/>
            <w:sz w:val="28"/>
            <w:szCs w:val="28"/>
          </w:rPr>
          <w:t xml:space="preserve"> 44 -</w:t>
        </w:r>
        <w:r>
          <w:rPr>
            <w:rFonts w:asciiTheme="majorEastAsia" w:hAnsiTheme="majorEastAsia" w:eastAsiaTheme="majorEastAsia"/>
            <w:color w:val="auto"/>
            <w:sz w:val="28"/>
            <w:szCs w:val="28"/>
          </w:rPr>
          <w:fldChar w:fldCharType="end"/>
        </w:r>
      </w:p>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E4B556"/>
    <w:multiLevelType w:val="multilevel"/>
    <w:tmpl w:val="5DE4B556"/>
    <w:lvl w:ilvl="0" w:tentative="0">
      <w:start w:val="1"/>
      <w:numFmt w:val="decimal"/>
      <w:lvlText w:val="3.0.%1"/>
      <w:lvlJc w:val="left"/>
      <w:pPr>
        <w:ind w:left="425" w:hanging="425"/>
      </w:pPr>
      <w:rPr>
        <w:rFonts w:hint="default" w:ascii="Times New Roman" w:hAnsi="Times New Roman" w:eastAsia="宋体" w:cs="Times New Roman"/>
        <w:b/>
      </w:rPr>
    </w:lvl>
    <w:lvl w:ilvl="1" w:tentative="0">
      <w:start w:val="1"/>
      <w:numFmt w:val="none"/>
      <w:lvlText w:val="4.1"/>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5DE8CD57"/>
    <w:multiLevelType w:val="singleLevel"/>
    <w:tmpl w:val="5DE8CD57"/>
    <w:lvl w:ilvl="0" w:tentative="0">
      <w:start w:val="1"/>
      <w:numFmt w:val="decimal"/>
      <w:suff w:val="nothing"/>
      <w:lvlText w:val="%1）"/>
      <w:lvlJc w:val="left"/>
    </w:lvl>
  </w:abstractNum>
  <w:abstractNum w:abstractNumId="2">
    <w:nsid w:val="5DED8544"/>
    <w:multiLevelType w:val="singleLevel"/>
    <w:tmpl w:val="5DED8544"/>
    <w:lvl w:ilvl="0" w:tentative="0">
      <w:start w:val="1"/>
      <w:numFmt w:val="decimal"/>
      <w:suff w:val="nothing"/>
      <w:lvlText w:val="%1）"/>
      <w:lvlJc w:val="left"/>
    </w:lvl>
  </w:abstractNum>
  <w:abstractNum w:abstractNumId="3">
    <w:nsid w:val="5DED865A"/>
    <w:multiLevelType w:val="singleLevel"/>
    <w:tmpl w:val="5DED865A"/>
    <w:lvl w:ilvl="0" w:tentative="0">
      <w:start w:val="1"/>
      <w:numFmt w:val="decimal"/>
      <w:suff w:val="nothing"/>
      <w:lvlText w:val="%1）"/>
      <w:lvlJc w:val="left"/>
      <w:rPr>
        <w:b/>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evenAndOddHeaders w:val="true"/>
  <w:drawingGridHorizontalSpacing w:val="170"/>
  <w:drawingGridVerticalSpacing w:val="231"/>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7244C8"/>
    <w:rsid w:val="00081B7A"/>
    <w:rsid w:val="000D083C"/>
    <w:rsid w:val="001078C9"/>
    <w:rsid w:val="00151EA2"/>
    <w:rsid w:val="001737B8"/>
    <w:rsid w:val="001D1080"/>
    <w:rsid w:val="001D4CEB"/>
    <w:rsid w:val="00227545"/>
    <w:rsid w:val="0023626F"/>
    <w:rsid w:val="002C04AA"/>
    <w:rsid w:val="0030122D"/>
    <w:rsid w:val="003C3C38"/>
    <w:rsid w:val="0044663F"/>
    <w:rsid w:val="00470DAD"/>
    <w:rsid w:val="004815E9"/>
    <w:rsid w:val="004B60FF"/>
    <w:rsid w:val="004D6393"/>
    <w:rsid w:val="004E55D0"/>
    <w:rsid w:val="00544067"/>
    <w:rsid w:val="0057423B"/>
    <w:rsid w:val="005C3325"/>
    <w:rsid w:val="005F1067"/>
    <w:rsid w:val="005F21B5"/>
    <w:rsid w:val="006A21F8"/>
    <w:rsid w:val="0074344A"/>
    <w:rsid w:val="007C389C"/>
    <w:rsid w:val="007F086D"/>
    <w:rsid w:val="007F1569"/>
    <w:rsid w:val="00812783"/>
    <w:rsid w:val="008219E0"/>
    <w:rsid w:val="00865445"/>
    <w:rsid w:val="008C6349"/>
    <w:rsid w:val="00942091"/>
    <w:rsid w:val="009C2D75"/>
    <w:rsid w:val="009D68FF"/>
    <w:rsid w:val="00A01DAC"/>
    <w:rsid w:val="00A32775"/>
    <w:rsid w:val="00A61C5C"/>
    <w:rsid w:val="00A67D14"/>
    <w:rsid w:val="00AB3783"/>
    <w:rsid w:val="00AB576D"/>
    <w:rsid w:val="00B8147E"/>
    <w:rsid w:val="00BD3C10"/>
    <w:rsid w:val="00C472BD"/>
    <w:rsid w:val="00C8453E"/>
    <w:rsid w:val="00C90117"/>
    <w:rsid w:val="00CB7A16"/>
    <w:rsid w:val="00CC65BF"/>
    <w:rsid w:val="00CF6AFD"/>
    <w:rsid w:val="00D00F70"/>
    <w:rsid w:val="00D05401"/>
    <w:rsid w:val="00D06F1F"/>
    <w:rsid w:val="00D17AD0"/>
    <w:rsid w:val="00D3491E"/>
    <w:rsid w:val="00E61BA2"/>
    <w:rsid w:val="00EC386B"/>
    <w:rsid w:val="00F16976"/>
    <w:rsid w:val="00F42F8B"/>
    <w:rsid w:val="00F50280"/>
    <w:rsid w:val="00F91991"/>
    <w:rsid w:val="1D8B3E35"/>
    <w:rsid w:val="1E7EA5D7"/>
    <w:rsid w:val="537244C8"/>
    <w:rsid w:val="61776447"/>
    <w:rsid w:val="ECFCCABF"/>
    <w:rsid w:val="EEFB0C6F"/>
    <w:rsid w:val="FAFE1D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color w:val="FF0000"/>
      <w:kern w:val="2"/>
      <w:sz w:val="34"/>
      <w:szCs w:val="24"/>
      <w:lang w:val="en-US" w:eastAsia="zh-CN" w:bidi="ar-SA"/>
    </w:rPr>
  </w:style>
  <w:style w:type="paragraph" w:styleId="3">
    <w:name w:val="heading 1"/>
    <w:basedOn w:val="1"/>
    <w:next w:val="1"/>
    <w:link w:val="52"/>
    <w:qFormat/>
    <w:uiPriority w:val="0"/>
    <w:pPr>
      <w:spacing w:beforeAutospacing="1" w:afterAutospacing="1"/>
      <w:jc w:val="left"/>
      <w:outlineLvl w:val="0"/>
    </w:pPr>
    <w:rPr>
      <w:rFonts w:eastAsia="宋体"/>
      <w:b/>
      <w:bCs/>
      <w:color w:val="auto"/>
      <w:kern w:val="44"/>
      <w:sz w:val="44"/>
      <w:szCs w:val="44"/>
    </w:rPr>
  </w:style>
  <w:style w:type="paragraph" w:styleId="4">
    <w:name w:val="heading 2"/>
    <w:basedOn w:val="1"/>
    <w:next w:val="1"/>
    <w:link w:val="53"/>
    <w:qFormat/>
    <w:uiPriority w:val="0"/>
    <w:pPr>
      <w:keepNext/>
      <w:keepLines/>
      <w:spacing w:before="260" w:after="260" w:line="416" w:lineRule="auto"/>
      <w:outlineLvl w:val="1"/>
    </w:pPr>
    <w:rPr>
      <w:rFonts w:ascii="Arial" w:hAnsi="Arial" w:eastAsia="黑体"/>
      <w:b/>
      <w:color w:val="auto"/>
      <w:sz w:val="32"/>
      <w:szCs w:val="20"/>
    </w:rPr>
  </w:style>
  <w:style w:type="paragraph" w:styleId="5">
    <w:name w:val="heading 3"/>
    <w:basedOn w:val="1"/>
    <w:next w:val="1"/>
    <w:link w:val="54"/>
    <w:qFormat/>
    <w:uiPriority w:val="0"/>
    <w:pPr>
      <w:keepNext/>
      <w:keepLines/>
      <w:spacing w:before="260" w:after="260" w:line="416" w:lineRule="auto"/>
      <w:outlineLvl w:val="2"/>
    </w:pPr>
    <w:rPr>
      <w:rFonts w:eastAsia="宋体"/>
      <w:b/>
      <w:color w:val="auto"/>
      <w:sz w:val="32"/>
      <w:szCs w:val="20"/>
    </w:rPr>
  </w:style>
  <w:style w:type="paragraph" w:styleId="6">
    <w:name w:val="heading 4"/>
    <w:basedOn w:val="1"/>
    <w:next w:val="1"/>
    <w:link w:val="55"/>
    <w:qFormat/>
    <w:uiPriority w:val="0"/>
    <w:pPr>
      <w:keepNext/>
      <w:keepLines/>
      <w:spacing w:before="280" w:after="290" w:line="376" w:lineRule="auto"/>
      <w:outlineLvl w:val="3"/>
    </w:pPr>
    <w:rPr>
      <w:rFonts w:ascii="Calibri Light" w:hAnsi="Calibri Light" w:eastAsia="宋体"/>
      <w:b/>
      <w:color w:val="auto"/>
      <w:sz w:val="28"/>
      <w:szCs w:val="20"/>
    </w:rPr>
  </w:style>
  <w:style w:type="paragraph" w:styleId="7">
    <w:name w:val="heading 5"/>
    <w:basedOn w:val="1"/>
    <w:next w:val="1"/>
    <w:link w:val="56"/>
    <w:qFormat/>
    <w:uiPriority w:val="0"/>
    <w:pPr>
      <w:keepNext/>
      <w:keepLines/>
      <w:spacing w:before="280" w:after="290" w:line="376" w:lineRule="auto"/>
      <w:outlineLvl w:val="4"/>
    </w:pPr>
    <w:rPr>
      <w:rFonts w:eastAsia="宋体"/>
      <w:b/>
      <w:color w:val="auto"/>
      <w:sz w:val="28"/>
      <w:szCs w:val="20"/>
    </w:rPr>
  </w:style>
  <w:style w:type="paragraph" w:styleId="8">
    <w:name w:val="heading 6"/>
    <w:basedOn w:val="1"/>
    <w:next w:val="1"/>
    <w:link w:val="57"/>
    <w:qFormat/>
    <w:uiPriority w:val="0"/>
    <w:pPr>
      <w:keepNext/>
      <w:keepLines/>
      <w:spacing w:before="240" w:after="64" w:line="320" w:lineRule="auto"/>
      <w:outlineLvl w:val="5"/>
    </w:pPr>
    <w:rPr>
      <w:rFonts w:ascii="Calibri Light" w:hAnsi="Calibri Light" w:eastAsia="宋体"/>
      <w:b/>
      <w:color w:val="auto"/>
      <w:sz w:val="24"/>
      <w:szCs w:val="20"/>
    </w:rPr>
  </w:style>
  <w:style w:type="paragraph" w:styleId="9">
    <w:name w:val="heading 7"/>
    <w:basedOn w:val="1"/>
    <w:next w:val="1"/>
    <w:link w:val="58"/>
    <w:qFormat/>
    <w:uiPriority w:val="0"/>
    <w:pPr>
      <w:keepNext/>
      <w:keepLines/>
      <w:spacing w:before="240" w:after="64" w:line="320" w:lineRule="auto"/>
      <w:outlineLvl w:val="6"/>
    </w:pPr>
    <w:rPr>
      <w:rFonts w:eastAsia="宋体"/>
      <w:b/>
      <w:bCs/>
      <w:color w:val="auto"/>
      <w:sz w:val="24"/>
    </w:rPr>
  </w:style>
  <w:style w:type="paragraph" w:styleId="10">
    <w:name w:val="heading 8"/>
    <w:basedOn w:val="1"/>
    <w:next w:val="1"/>
    <w:link w:val="59"/>
    <w:qFormat/>
    <w:uiPriority w:val="0"/>
    <w:pPr>
      <w:keepNext/>
      <w:keepLines/>
      <w:spacing w:before="240" w:after="64" w:line="320" w:lineRule="auto"/>
      <w:outlineLvl w:val="7"/>
    </w:pPr>
    <w:rPr>
      <w:rFonts w:ascii="Arial" w:hAnsi="Arial" w:eastAsia="黑体"/>
      <w:color w:val="auto"/>
      <w:sz w:val="24"/>
    </w:rPr>
  </w:style>
  <w:style w:type="paragraph" w:styleId="11">
    <w:name w:val="heading 9"/>
    <w:basedOn w:val="1"/>
    <w:next w:val="1"/>
    <w:link w:val="60"/>
    <w:qFormat/>
    <w:uiPriority w:val="0"/>
    <w:pPr>
      <w:keepNext/>
      <w:keepLines/>
      <w:spacing w:before="240" w:after="64" w:line="320" w:lineRule="auto"/>
      <w:outlineLvl w:val="8"/>
    </w:pPr>
    <w:rPr>
      <w:rFonts w:ascii="Arial" w:hAnsi="Arial" w:eastAsia="黑体"/>
      <w:color w:val="auto"/>
      <w:sz w:val="21"/>
      <w:szCs w:val="21"/>
    </w:rPr>
  </w:style>
  <w:style w:type="character" w:default="1" w:styleId="39">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jc w:val="left"/>
    </w:pPr>
    <w:rPr>
      <w:rFonts w:hint="eastAsia" w:ascii="仿宋_GB2312" w:hAnsi="Calibri"/>
      <w:color w:val="000000"/>
      <w:kern w:val="0"/>
      <w:sz w:val="24"/>
    </w:rPr>
  </w:style>
  <w:style w:type="paragraph" w:styleId="12">
    <w:name w:val="toc 7"/>
    <w:basedOn w:val="13"/>
    <w:next w:val="1"/>
    <w:qFormat/>
    <w:uiPriority w:val="0"/>
  </w:style>
  <w:style w:type="paragraph" w:styleId="13">
    <w:name w:val="toc 6"/>
    <w:basedOn w:val="14"/>
    <w:next w:val="1"/>
    <w:qFormat/>
    <w:uiPriority w:val="0"/>
  </w:style>
  <w:style w:type="paragraph" w:styleId="14">
    <w:name w:val="toc 5"/>
    <w:basedOn w:val="15"/>
    <w:next w:val="1"/>
    <w:qFormat/>
    <w:uiPriority w:val="0"/>
  </w:style>
  <w:style w:type="paragraph" w:styleId="15">
    <w:name w:val="toc 4"/>
    <w:basedOn w:val="16"/>
    <w:next w:val="1"/>
    <w:qFormat/>
    <w:uiPriority w:val="0"/>
  </w:style>
  <w:style w:type="paragraph" w:styleId="16">
    <w:name w:val="toc 3"/>
    <w:basedOn w:val="17"/>
    <w:next w:val="1"/>
    <w:qFormat/>
    <w:uiPriority w:val="0"/>
    <w:pPr>
      <w:ind w:left="0" w:leftChars="0"/>
    </w:pPr>
    <w:rPr>
      <w:szCs w:val="24"/>
    </w:rPr>
  </w:style>
  <w:style w:type="paragraph" w:styleId="17">
    <w:name w:val="toc 2"/>
    <w:basedOn w:val="1"/>
    <w:next w:val="1"/>
    <w:qFormat/>
    <w:uiPriority w:val="0"/>
    <w:pPr>
      <w:ind w:left="420" w:leftChars="200"/>
    </w:pPr>
    <w:rPr>
      <w:rFonts w:eastAsia="宋体"/>
      <w:color w:val="auto"/>
      <w:sz w:val="21"/>
      <w:szCs w:val="21"/>
    </w:rPr>
  </w:style>
  <w:style w:type="paragraph" w:styleId="18">
    <w:name w:val="Document Map"/>
    <w:basedOn w:val="1"/>
    <w:link w:val="67"/>
    <w:qFormat/>
    <w:uiPriority w:val="0"/>
    <w:rPr>
      <w:rFonts w:ascii="宋体" w:eastAsia="宋体"/>
      <w:color w:val="auto"/>
      <w:sz w:val="18"/>
      <w:szCs w:val="20"/>
    </w:rPr>
  </w:style>
  <w:style w:type="paragraph" w:styleId="19">
    <w:name w:val="annotation text"/>
    <w:basedOn w:val="1"/>
    <w:link w:val="63"/>
    <w:qFormat/>
    <w:uiPriority w:val="0"/>
    <w:pPr>
      <w:jc w:val="left"/>
    </w:pPr>
  </w:style>
  <w:style w:type="paragraph" w:styleId="20">
    <w:name w:val="Body Text 3"/>
    <w:basedOn w:val="1"/>
    <w:link w:val="69"/>
    <w:qFormat/>
    <w:uiPriority w:val="0"/>
    <w:rPr>
      <w:rFonts w:eastAsia="宋体"/>
      <w:color w:val="auto"/>
      <w:sz w:val="24"/>
    </w:rPr>
  </w:style>
  <w:style w:type="paragraph" w:styleId="21">
    <w:name w:val="Body Text"/>
    <w:basedOn w:val="1"/>
    <w:link w:val="70"/>
    <w:qFormat/>
    <w:uiPriority w:val="0"/>
    <w:pPr>
      <w:spacing w:line="400" w:lineRule="exact"/>
    </w:pPr>
    <w:rPr>
      <w:rFonts w:eastAsia="宋体"/>
      <w:color w:val="auto"/>
      <w:sz w:val="28"/>
      <w:szCs w:val="20"/>
    </w:rPr>
  </w:style>
  <w:style w:type="paragraph" w:styleId="22">
    <w:name w:val="Body Text Indent"/>
    <w:basedOn w:val="1"/>
    <w:link w:val="72"/>
    <w:qFormat/>
    <w:uiPriority w:val="0"/>
    <w:pPr>
      <w:spacing w:line="440" w:lineRule="exact"/>
      <w:ind w:firstLine="420" w:firstLineChars="200"/>
    </w:pPr>
    <w:rPr>
      <w:rFonts w:ascii="宋体" w:hAnsi="宋体" w:eastAsia="宋体"/>
      <w:color w:val="auto"/>
      <w:sz w:val="21"/>
    </w:rPr>
  </w:style>
  <w:style w:type="paragraph" w:styleId="23">
    <w:name w:val="HTML Address"/>
    <w:basedOn w:val="1"/>
    <w:link w:val="73"/>
    <w:qFormat/>
    <w:uiPriority w:val="0"/>
    <w:rPr>
      <w:rFonts w:eastAsia="宋体"/>
      <w:i/>
      <w:iCs/>
      <w:color w:val="auto"/>
      <w:sz w:val="21"/>
    </w:rPr>
  </w:style>
  <w:style w:type="paragraph" w:styleId="24">
    <w:name w:val="Plain Text"/>
    <w:basedOn w:val="1"/>
    <w:link w:val="74"/>
    <w:qFormat/>
    <w:uiPriority w:val="0"/>
    <w:rPr>
      <w:rFonts w:ascii="宋体" w:hAnsi="Courier New" w:eastAsia="宋体"/>
      <w:color w:val="auto"/>
      <w:sz w:val="21"/>
      <w:szCs w:val="20"/>
    </w:rPr>
  </w:style>
  <w:style w:type="paragraph" w:styleId="25">
    <w:name w:val="toc 8"/>
    <w:basedOn w:val="12"/>
    <w:next w:val="1"/>
    <w:qFormat/>
    <w:uiPriority w:val="0"/>
  </w:style>
  <w:style w:type="paragraph" w:styleId="26">
    <w:name w:val="Date"/>
    <w:basedOn w:val="1"/>
    <w:next w:val="1"/>
    <w:link w:val="75"/>
    <w:qFormat/>
    <w:uiPriority w:val="0"/>
    <w:pPr>
      <w:ind w:left="100" w:leftChars="2500"/>
    </w:pPr>
    <w:rPr>
      <w:rFonts w:ascii="仿宋_GB2312"/>
      <w:color w:val="auto"/>
      <w:kern w:val="0"/>
      <w:sz w:val="24"/>
      <w:szCs w:val="20"/>
    </w:rPr>
  </w:style>
  <w:style w:type="paragraph" w:styleId="27">
    <w:name w:val="Body Text Indent 2"/>
    <w:basedOn w:val="1"/>
    <w:link w:val="77"/>
    <w:qFormat/>
    <w:uiPriority w:val="0"/>
    <w:pPr>
      <w:spacing w:line="460" w:lineRule="atLeast"/>
      <w:ind w:firstLine="480" w:firstLineChars="200"/>
    </w:pPr>
    <w:rPr>
      <w:rFonts w:eastAsia="宋体"/>
      <w:color w:val="auto"/>
      <w:sz w:val="24"/>
    </w:rPr>
  </w:style>
  <w:style w:type="paragraph" w:styleId="28">
    <w:name w:val="Balloon Text"/>
    <w:basedOn w:val="1"/>
    <w:link w:val="78"/>
    <w:qFormat/>
    <w:uiPriority w:val="0"/>
    <w:rPr>
      <w:rFonts w:ascii="Calibri" w:hAnsi="Calibri" w:eastAsia="宋体"/>
      <w:color w:val="auto"/>
      <w:sz w:val="18"/>
      <w:szCs w:val="18"/>
    </w:rPr>
  </w:style>
  <w:style w:type="paragraph" w:styleId="29">
    <w:name w:val="footer"/>
    <w:basedOn w:val="1"/>
    <w:link w:val="61"/>
    <w:qFormat/>
    <w:uiPriority w:val="99"/>
    <w:pPr>
      <w:tabs>
        <w:tab w:val="center" w:pos="4153"/>
        <w:tab w:val="right" w:pos="8306"/>
      </w:tabs>
      <w:snapToGrid w:val="0"/>
      <w:jc w:val="left"/>
    </w:pPr>
    <w:rPr>
      <w:sz w:val="18"/>
      <w:szCs w:val="18"/>
    </w:rPr>
  </w:style>
  <w:style w:type="paragraph" w:styleId="30">
    <w:name w:val="header"/>
    <w:basedOn w:val="1"/>
    <w:link w:val="62"/>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0"/>
    <w:rPr>
      <w:rFonts w:ascii="宋体" w:eastAsia="宋体"/>
      <w:color w:val="auto"/>
      <w:sz w:val="21"/>
    </w:rPr>
  </w:style>
  <w:style w:type="paragraph" w:styleId="32">
    <w:name w:val="footnote text"/>
    <w:basedOn w:val="1"/>
    <w:link w:val="79"/>
    <w:qFormat/>
    <w:uiPriority w:val="0"/>
    <w:pPr>
      <w:snapToGrid w:val="0"/>
      <w:jc w:val="left"/>
    </w:pPr>
    <w:rPr>
      <w:rFonts w:eastAsia="宋体"/>
      <w:color w:val="auto"/>
      <w:sz w:val="18"/>
      <w:szCs w:val="18"/>
    </w:rPr>
  </w:style>
  <w:style w:type="paragraph" w:styleId="33">
    <w:name w:val="toc 9"/>
    <w:basedOn w:val="25"/>
    <w:next w:val="1"/>
    <w:qFormat/>
    <w:uiPriority w:val="0"/>
  </w:style>
  <w:style w:type="paragraph" w:styleId="34">
    <w:name w:val="HTML Preformatted"/>
    <w:basedOn w:val="1"/>
    <w:link w:val="80"/>
    <w:qFormat/>
    <w:uiPriority w:val="0"/>
    <w:rPr>
      <w:rFonts w:ascii="Courier New" w:hAnsi="Courier New" w:eastAsia="宋体" w:cs="Courier New"/>
      <w:color w:val="auto"/>
      <w:sz w:val="20"/>
      <w:szCs w:val="20"/>
    </w:rPr>
  </w:style>
  <w:style w:type="paragraph" w:styleId="35">
    <w:name w:val="Normal (Web)"/>
    <w:basedOn w:val="1"/>
    <w:qFormat/>
    <w:uiPriority w:val="0"/>
    <w:pPr>
      <w:widowControl/>
      <w:spacing w:before="100" w:beforeAutospacing="1" w:after="100" w:afterAutospacing="1"/>
      <w:jc w:val="left"/>
    </w:pPr>
    <w:rPr>
      <w:rFonts w:ascii="宋体" w:eastAsia="宋体" w:cs="宋体"/>
      <w:color w:val="auto"/>
      <w:kern w:val="0"/>
      <w:sz w:val="24"/>
    </w:rPr>
  </w:style>
  <w:style w:type="paragraph" w:styleId="36">
    <w:name w:val="Title"/>
    <w:basedOn w:val="1"/>
    <w:link w:val="81"/>
    <w:qFormat/>
    <w:uiPriority w:val="99"/>
    <w:pPr>
      <w:spacing w:before="240" w:after="60"/>
      <w:jc w:val="center"/>
      <w:outlineLvl w:val="0"/>
    </w:pPr>
    <w:rPr>
      <w:rFonts w:ascii="Arial" w:hAnsi="Arial" w:eastAsia="宋体" w:cs="Arial"/>
      <w:b/>
      <w:bCs/>
      <w:color w:val="auto"/>
      <w:sz w:val="32"/>
      <w:szCs w:val="32"/>
    </w:rPr>
  </w:style>
  <w:style w:type="paragraph" w:styleId="37">
    <w:name w:val="annotation subject"/>
    <w:basedOn w:val="19"/>
    <w:next w:val="19"/>
    <w:link w:val="64"/>
    <w:qFormat/>
    <w:uiPriority w:val="0"/>
    <w:rPr>
      <w:rFonts w:eastAsia="宋体"/>
      <w:b/>
      <w:bCs/>
      <w:color w:val="auto"/>
      <w:sz w:val="21"/>
    </w:rPr>
  </w:style>
  <w:style w:type="character" w:styleId="40">
    <w:name w:val="page number"/>
    <w:qFormat/>
    <w:uiPriority w:val="0"/>
    <w:rPr>
      <w:rFonts w:ascii="Times New Roman" w:hAnsi="Times New Roman" w:eastAsia="宋体"/>
      <w:sz w:val="18"/>
    </w:rPr>
  </w:style>
  <w:style w:type="character" w:styleId="41">
    <w:name w:val="HTML Definition"/>
    <w:qFormat/>
    <w:uiPriority w:val="0"/>
    <w:rPr>
      <w:i/>
      <w:iCs/>
    </w:rPr>
  </w:style>
  <w:style w:type="character" w:styleId="42">
    <w:name w:val="HTML Typewriter"/>
    <w:qFormat/>
    <w:uiPriority w:val="0"/>
    <w:rPr>
      <w:rFonts w:ascii="Courier New" w:hAnsi="Courier New"/>
      <w:sz w:val="20"/>
      <w:szCs w:val="20"/>
    </w:rPr>
  </w:style>
  <w:style w:type="character" w:styleId="43">
    <w:name w:val="HTML Acronym"/>
    <w:basedOn w:val="39"/>
    <w:qFormat/>
    <w:uiPriority w:val="0"/>
  </w:style>
  <w:style w:type="character" w:styleId="44">
    <w:name w:val="HTML Variable"/>
    <w:qFormat/>
    <w:uiPriority w:val="0"/>
    <w:rPr>
      <w:i/>
      <w:iCs/>
    </w:rPr>
  </w:style>
  <w:style w:type="character" w:styleId="45">
    <w:name w:val="Hyperlink"/>
    <w:qFormat/>
    <w:uiPriority w:val="0"/>
    <w:rPr>
      <w:color w:val="0000FF"/>
      <w:u w:val="single"/>
    </w:rPr>
  </w:style>
  <w:style w:type="character" w:styleId="46">
    <w:name w:val="HTML Code"/>
    <w:qFormat/>
    <w:uiPriority w:val="0"/>
    <w:rPr>
      <w:rFonts w:ascii="Courier New" w:hAnsi="Courier New"/>
      <w:sz w:val="20"/>
      <w:szCs w:val="20"/>
    </w:rPr>
  </w:style>
  <w:style w:type="character" w:styleId="47">
    <w:name w:val="annotation reference"/>
    <w:qFormat/>
    <w:uiPriority w:val="0"/>
    <w:rPr>
      <w:sz w:val="21"/>
      <w:szCs w:val="21"/>
    </w:rPr>
  </w:style>
  <w:style w:type="character" w:styleId="48">
    <w:name w:val="HTML Cite"/>
    <w:qFormat/>
    <w:uiPriority w:val="0"/>
    <w:rPr>
      <w:i/>
      <w:iCs/>
    </w:rPr>
  </w:style>
  <w:style w:type="character" w:styleId="49">
    <w:name w:val="footnote reference"/>
    <w:qFormat/>
    <w:uiPriority w:val="0"/>
    <w:rPr>
      <w:vertAlign w:val="superscript"/>
    </w:rPr>
  </w:style>
  <w:style w:type="character" w:styleId="50">
    <w:name w:val="HTML Keyboard"/>
    <w:qFormat/>
    <w:uiPriority w:val="0"/>
    <w:rPr>
      <w:rFonts w:ascii="Courier New" w:hAnsi="Courier New"/>
      <w:sz w:val="20"/>
      <w:szCs w:val="20"/>
    </w:rPr>
  </w:style>
  <w:style w:type="character" w:styleId="51">
    <w:name w:val="HTML Sample"/>
    <w:qFormat/>
    <w:uiPriority w:val="0"/>
    <w:rPr>
      <w:rFonts w:ascii="Courier New" w:hAnsi="Courier New"/>
    </w:rPr>
  </w:style>
  <w:style w:type="character" w:customStyle="1" w:styleId="52">
    <w:name w:val="标题 1 Char"/>
    <w:basedOn w:val="39"/>
    <w:link w:val="3"/>
    <w:qFormat/>
    <w:uiPriority w:val="0"/>
    <w:rPr>
      <w:rFonts w:ascii="Times New Roman" w:hAnsi="Times New Roman" w:eastAsia="宋体" w:cs="Times New Roman"/>
      <w:b/>
      <w:bCs/>
      <w:kern w:val="44"/>
      <w:sz w:val="44"/>
      <w:szCs w:val="44"/>
    </w:rPr>
  </w:style>
  <w:style w:type="character" w:customStyle="1" w:styleId="53">
    <w:name w:val="标题 2 Char"/>
    <w:basedOn w:val="39"/>
    <w:link w:val="4"/>
    <w:qFormat/>
    <w:uiPriority w:val="0"/>
    <w:rPr>
      <w:rFonts w:ascii="Arial" w:hAnsi="Arial" w:eastAsia="黑体" w:cs="Times New Roman"/>
      <w:b/>
      <w:kern w:val="2"/>
      <w:sz w:val="32"/>
    </w:rPr>
  </w:style>
  <w:style w:type="character" w:customStyle="1" w:styleId="54">
    <w:name w:val="标题 3 Char"/>
    <w:basedOn w:val="39"/>
    <w:link w:val="5"/>
    <w:qFormat/>
    <w:uiPriority w:val="0"/>
    <w:rPr>
      <w:rFonts w:ascii="Times New Roman" w:hAnsi="Times New Roman" w:eastAsia="宋体" w:cs="Times New Roman"/>
      <w:b/>
      <w:kern w:val="2"/>
      <w:sz w:val="32"/>
    </w:rPr>
  </w:style>
  <w:style w:type="character" w:customStyle="1" w:styleId="55">
    <w:name w:val="标题 4 Char"/>
    <w:basedOn w:val="39"/>
    <w:link w:val="6"/>
    <w:qFormat/>
    <w:uiPriority w:val="0"/>
    <w:rPr>
      <w:rFonts w:ascii="Calibri Light" w:hAnsi="Calibri Light" w:eastAsia="宋体" w:cs="Times New Roman"/>
      <w:b/>
      <w:kern w:val="2"/>
      <w:sz w:val="28"/>
    </w:rPr>
  </w:style>
  <w:style w:type="character" w:customStyle="1" w:styleId="56">
    <w:name w:val="标题 5 Char"/>
    <w:basedOn w:val="39"/>
    <w:link w:val="7"/>
    <w:qFormat/>
    <w:uiPriority w:val="0"/>
    <w:rPr>
      <w:rFonts w:ascii="Times New Roman" w:hAnsi="Times New Roman" w:eastAsia="宋体" w:cs="Times New Roman"/>
      <w:b/>
      <w:kern w:val="2"/>
      <w:sz w:val="28"/>
    </w:rPr>
  </w:style>
  <w:style w:type="character" w:customStyle="1" w:styleId="57">
    <w:name w:val="标题 6 Char"/>
    <w:basedOn w:val="39"/>
    <w:link w:val="8"/>
    <w:qFormat/>
    <w:uiPriority w:val="0"/>
    <w:rPr>
      <w:rFonts w:ascii="Calibri Light" w:hAnsi="Calibri Light" w:eastAsia="宋体" w:cs="Times New Roman"/>
      <w:b/>
      <w:kern w:val="2"/>
      <w:sz w:val="24"/>
    </w:rPr>
  </w:style>
  <w:style w:type="character" w:customStyle="1" w:styleId="58">
    <w:name w:val="标题 7 Char"/>
    <w:basedOn w:val="39"/>
    <w:link w:val="9"/>
    <w:qFormat/>
    <w:uiPriority w:val="0"/>
    <w:rPr>
      <w:rFonts w:ascii="Times New Roman" w:hAnsi="Times New Roman" w:eastAsia="宋体" w:cs="Times New Roman"/>
      <w:b/>
      <w:bCs/>
      <w:kern w:val="2"/>
      <w:sz w:val="24"/>
      <w:szCs w:val="24"/>
    </w:rPr>
  </w:style>
  <w:style w:type="character" w:customStyle="1" w:styleId="59">
    <w:name w:val="标题 8 Char"/>
    <w:basedOn w:val="39"/>
    <w:link w:val="10"/>
    <w:qFormat/>
    <w:uiPriority w:val="0"/>
    <w:rPr>
      <w:rFonts w:ascii="Arial" w:hAnsi="Arial" w:eastAsia="黑体" w:cs="Times New Roman"/>
      <w:kern w:val="2"/>
      <w:sz w:val="24"/>
      <w:szCs w:val="24"/>
    </w:rPr>
  </w:style>
  <w:style w:type="character" w:customStyle="1" w:styleId="60">
    <w:name w:val="标题 9 Char"/>
    <w:basedOn w:val="39"/>
    <w:link w:val="11"/>
    <w:qFormat/>
    <w:uiPriority w:val="0"/>
    <w:rPr>
      <w:rFonts w:ascii="Arial" w:hAnsi="Arial" w:eastAsia="黑体" w:cs="Times New Roman"/>
      <w:kern w:val="2"/>
      <w:sz w:val="21"/>
      <w:szCs w:val="21"/>
    </w:rPr>
  </w:style>
  <w:style w:type="character" w:customStyle="1" w:styleId="61">
    <w:name w:val="页脚 Char"/>
    <w:basedOn w:val="39"/>
    <w:link w:val="29"/>
    <w:qFormat/>
    <w:uiPriority w:val="99"/>
    <w:rPr>
      <w:rFonts w:ascii="Times New Roman" w:hAnsi="Times New Roman" w:eastAsia="仿宋_GB2312" w:cs="Times New Roman"/>
      <w:color w:val="FF0000"/>
      <w:kern w:val="2"/>
      <w:sz w:val="18"/>
      <w:szCs w:val="18"/>
    </w:rPr>
  </w:style>
  <w:style w:type="character" w:customStyle="1" w:styleId="62">
    <w:name w:val="页眉 Char"/>
    <w:link w:val="30"/>
    <w:qFormat/>
    <w:uiPriority w:val="0"/>
    <w:rPr>
      <w:rFonts w:ascii="Times New Roman" w:hAnsi="Times New Roman" w:eastAsia="仿宋_GB2312" w:cs="Times New Roman"/>
      <w:color w:val="FF0000"/>
      <w:kern w:val="2"/>
      <w:sz w:val="18"/>
      <w:szCs w:val="18"/>
    </w:rPr>
  </w:style>
  <w:style w:type="character" w:customStyle="1" w:styleId="63">
    <w:name w:val="批注文字 Char"/>
    <w:basedOn w:val="39"/>
    <w:link w:val="19"/>
    <w:qFormat/>
    <w:uiPriority w:val="0"/>
    <w:rPr>
      <w:rFonts w:ascii="Times New Roman" w:hAnsi="Times New Roman" w:eastAsia="仿宋_GB2312" w:cs="Times New Roman"/>
      <w:color w:val="FF0000"/>
      <w:kern w:val="2"/>
      <w:sz w:val="34"/>
      <w:szCs w:val="24"/>
    </w:rPr>
  </w:style>
  <w:style w:type="character" w:customStyle="1" w:styleId="64">
    <w:name w:val="批注主题 Char1"/>
    <w:basedOn w:val="65"/>
    <w:link w:val="37"/>
    <w:qFormat/>
    <w:uiPriority w:val="0"/>
    <w:rPr>
      <w:rFonts w:ascii="Times New Roman" w:hAnsi="Times New Roman" w:eastAsia="宋体" w:cs="Times New Roman"/>
      <w:b/>
      <w:bCs/>
      <w:kern w:val="2"/>
      <w:sz w:val="21"/>
      <w:szCs w:val="24"/>
    </w:rPr>
  </w:style>
  <w:style w:type="character" w:customStyle="1" w:styleId="65">
    <w:name w:val="批注文字 Char1"/>
    <w:basedOn w:val="39"/>
    <w:qFormat/>
    <w:uiPriority w:val="0"/>
    <w:rPr>
      <w:rFonts w:ascii="Calibri" w:hAnsi="Calibri"/>
      <w:kern w:val="2"/>
      <w:sz w:val="21"/>
      <w:szCs w:val="24"/>
    </w:rPr>
  </w:style>
  <w:style w:type="character" w:customStyle="1" w:styleId="66">
    <w:name w:val="批注主题 Char"/>
    <w:basedOn w:val="63"/>
    <w:qFormat/>
    <w:uiPriority w:val="0"/>
    <w:rPr>
      <w:rFonts w:ascii="Times New Roman" w:hAnsi="Times New Roman" w:eastAsia="仿宋_GB2312" w:cs="Times New Roman"/>
      <w:b/>
      <w:bCs/>
      <w:color w:val="FF0000"/>
      <w:kern w:val="2"/>
      <w:sz w:val="34"/>
      <w:szCs w:val="24"/>
    </w:rPr>
  </w:style>
  <w:style w:type="character" w:customStyle="1" w:styleId="67">
    <w:name w:val="文档结构图 Char1"/>
    <w:basedOn w:val="39"/>
    <w:link w:val="18"/>
    <w:qFormat/>
    <w:uiPriority w:val="0"/>
    <w:rPr>
      <w:rFonts w:ascii="宋体" w:hAnsi="Times New Roman" w:eastAsia="宋体" w:cs="Times New Roman"/>
      <w:kern w:val="2"/>
      <w:sz w:val="18"/>
    </w:rPr>
  </w:style>
  <w:style w:type="character" w:customStyle="1" w:styleId="68">
    <w:name w:val="文档结构图 Char"/>
    <w:basedOn w:val="39"/>
    <w:qFormat/>
    <w:uiPriority w:val="0"/>
    <w:rPr>
      <w:rFonts w:ascii="宋体" w:hAnsi="Times New Roman" w:eastAsia="宋体" w:cs="Times New Roman"/>
      <w:color w:val="FF0000"/>
      <w:kern w:val="2"/>
      <w:sz w:val="18"/>
      <w:szCs w:val="18"/>
    </w:rPr>
  </w:style>
  <w:style w:type="character" w:customStyle="1" w:styleId="69">
    <w:name w:val="正文文本 3 Char"/>
    <w:basedOn w:val="39"/>
    <w:link w:val="20"/>
    <w:qFormat/>
    <w:uiPriority w:val="0"/>
    <w:rPr>
      <w:rFonts w:ascii="Times New Roman" w:hAnsi="Times New Roman" w:eastAsia="宋体" w:cs="Times New Roman"/>
      <w:kern w:val="2"/>
      <w:sz w:val="24"/>
      <w:szCs w:val="24"/>
    </w:rPr>
  </w:style>
  <w:style w:type="character" w:customStyle="1" w:styleId="70">
    <w:name w:val="正文文本 Char1"/>
    <w:basedOn w:val="39"/>
    <w:link w:val="21"/>
    <w:qFormat/>
    <w:uiPriority w:val="0"/>
    <w:rPr>
      <w:rFonts w:ascii="Times New Roman" w:hAnsi="Times New Roman" w:eastAsia="宋体" w:cs="Times New Roman"/>
      <w:kern w:val="2"/>
      <w:sz w:val="28"/>
    </w:rPr>
  </w:style>
  <w:style w:type="character" w:customStyle="1" w:styleId="71">
    <w:name w:val="正文文本 Char"/>
    <w:basedOn w:val="39"/>
    <w:qFormat/>
    <w:uiPriority w:val="0"/>
    <w:rPr>
      <w:rFonts w:ascii="Times New Roman" w:hAnsi="Times New Roman" w:eastAsia="仿宋_GB2312" w:cs="Times New Roman"/>
      <w:color w:val="FF0000"/>
      <w:kern w:val="2"/>
      <w:sz w:val="34"/>
      <w:szCs w:val="24"/>
    </w:rPr>
  </w:style>
  <w:style w:type="character" w:customStyle="1" w:styleId="72">
    <w:name w:val="正文文本缩进 Char"/>
    <w:basedOn w:val="39"/>
    <w:link w:val="22"/>
    <w:qFormat/>
    <w:uiPriority w:val="0"/>
    <w:rPr>
      <w:rFonts w:ascii="宋体" w:hAnsi="宋体" w:eastAsia="宋体" w:cs="Times New Roman"/>
      <w:kern w:val="2"/>
      <w:sz w:val="21"/>
      <w:szCs w:val="24"/>
    </w:rPr>
  </w:style>
  <w:style w:type="character" w:customStyle="1" w:styleId="73">
    <w:name w:val="HTML 地址 Char"/>
    <w:basedOn w:val="39"/>
    <w:link w:val="23"/>
    <w:qFormat/>
    <w:uiPriority w:val="0"/>
    <w:rPr>
      <w:rFonts w:ascii="Times New Roman" w:hAnsi="Times New Roman" w:eastAsia="宋体" w:cs="Times New Roman"/>
      <w:i/>
      <w:iCs/>
      <w:kern w:val="2"/>
      <w:sz w:val="21"/>
      <w:szCs w:val="24"/>
    </w:rPr>
  </w:style>
  <w:style w:type="character" w:customStyle="1" w:styleId="74">
    <w:name w:val="纯文本 Char"/>
    <w:basedOn w:val="39"/>
    <w:link w:val="24"/>
    <w:qFormat/>
    <w:uiPriority w:val="0"/>
    <w:rPr>
      <w:rFonts w:ascii="宋体" w:hAnsi="Courier New" w:eastAsia="宋体" w:cs="Times New Roman"/>
      <w:kern w:val="2"/>
      <w:sz w:val="21"/>
    </w:rPr>
  </w:style>
  <w:style w:type="character" w:customStyle="1" w:styleId="75">
    <w:name w:val="日期 Char1"/>
    <w:basedOn w:val="39"/>
    <w:link w:val="26"/>
    <w:qFormat/>
    <w:uiPriority w:val="0"/>
    <w:rPr>
      <w:rFonts w:ascii="仿宋_GB2312" w:hAnsi="Times New Roman" w:eastAsia="仿宋_GB2312" w:cs="Times New Roman"/>
      <w:sz w:val="24"/>
    </w:rPr>
  </w:style>
  <w:style w:type="character" w:customStyle="1" w:styleId="76">
    <w:name w:val="日期 Char"/>
    <w:basedOn w:val="39"/>
    <w:qFormat/>
    <w:uiPriority w:val="0"/>
    <w:rPr>
      <w:rFonts w:ascii="Times New Roman" w:hAnsi="Times New Roman" w:eastAsia="仿宋_GB2312" w:cs="Times New Roman"/>
      <w:color w:val="FF0000"/>
      <w:kern w:val="2"/>
      <w:sz w:val="34"/>
      <w:szCs w:val="24"/>
    </w:rPr>
  </w:style>
  <w:style w:type="character" w:customStyle="1" w:styleId="77">
    <w:name w:val="正文文本缩进 2 Char"/>
    <w:basedOn w:val="39"/>
    <w:link w:val="27"/>
    <w:qFormat/>
    <w:uiPriority w:val="0"/>
    <w:rPr>
      <w:rFonts w:ascii="Times New Roman" w:hAnsi="Times New Roman" w:eastAsia="宋体" w:cs="Times New Roman"/>
      <w:kern w:val="2"/>
      <w:sz w:val="24"/>
      <w:szCs w:val="24"/>
    </w:rPr>
  </w:style>
  <w:style w:type="character" w:customStyle="1" w:styleId="78">
    <w:name w:val="批注框文本 Char"/>
    <w:basedOn w:val="39"/>
    <w:link w:val="28"/>
    <w:qFormat/>
    <w:uiPriority w:val="0"/>
    <w:rPr>
      <w:rFonts w:ascii="Calibri" w:hAnsi="Calibri" w:eastAsia="宋体" w:cs="Times New Roman"/>
      <w:kern w:val="2"/>
      <w:sz w:val="18"/>
      <w:szCs w:val="18"/>
    </w:rPr>
  </w:style>
  <w:style w:type="character" w:customStyle="1" w:styleId="79">
    <w:name w:val="脚注文本 Char"/>
    <w:basedOn w:val="39"/>
    <w:link w:val="32"/>
    <w:qFormat/>
    <w:uiPriority w:val="0"/>
    <w:rPr>
      <w:rFonts w:ascii="Times New Roman" w:hAnsi="Times New Roman" w:eastAsia="宋体" w:cs="Times New Roman"/>
      <w:kern w:val="2"/>
      <w:sz w:val="18"/>
      <w:szCs w:val="18"/>
    </w:rPr>
  </w:style>
  <w:style w:type="character" w:customStyle="1" w:styleId="80">
    <w:name w:val="HTML 预设格式 Char"/>
    <w:basedOn w:val="39"/>
    <w:link w:val="34"/>
    <w:qFormat/>
    <w:uiPriority w:val="0"/>
    <w:rPr>
      <w:rFonts w:ascii="Courier New" w:hAnsi="Courier New" w:eastAsia="宋体" w:cs="Courier New"/>
      <w:kern w:val="2"/>
    </w:rPr>
  </w:style>
  <w:style w:type="character" w:customStyle="1" w:styleId="81">
    <w:name w:val="标题 Char"/>
    <w:basedOn w:val="39"/>
    <w:link w:val="36"/>
    <w:qFormat/>
    <w:uiPriority w:val="99"/>
    <w:rPr>
      <w:rFonts w:ascii="Arial" w:hAnsi="Arial" w:eastAsia="宋体" w:cs="Arial"/>
      <w:b/>
      <w:bCs/>
      <w:kern w:val="2"/>
      <w:sz w:val="32"/>
      <w:szCs w:val="32"/>
    </w:rPr>
  </w:style>
  <w:style w:type="character" w:customStyle="1" w:styleId="82">
    <w:name w:val="font01"/>
    <w:basedOn w:val="39"/>
    <w:qFormat/>
    <w:uiPriority w:val="0"/>
    <w:rPr>
      <w:rFonts w:hint="eastAsia" w:ascii="仿宋" w:hAnsi="仿宋" w:eastAsia="仿宋" w:cs="仿宋"/>
      <w:b/>
      <w:color w:val="000000"/>
      <w:sz w:val="28"/>
      <w:szCs w:val="28"/>
      <w:u w:val="none"/>
    </w:rPr>
  </w:style>
  <w:style w:type="character" w:customStyle="1" w:styleId="83">
    <w:name w:val="font11"/>
    <w:basedOn w:val="39"/>
    <w:qFormat/>
    <w:uiPriority w:val="0"/>
    <w:rPr>
      <w:rFonts w:hint="eastAsia" w:ascii="仿宋" w:hAnsi="仿宋" w:eastAsia="仿宋" w:cs="仿宋"/>
      <w:color w:val="000000"/>
      <w:sz w:val="28"/>
      <w:szCs w:val="28"/>
      <w:u w:val="none"/>
    </w:rPr>
  </w:style>
  <w:style w:type="paragraph" w:customStyle="1" w:styleId="84">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85">
    <w:name w:val="WPSOffice手动目录 1"/>
    <w:qFormat/>
    <w:uiPriority w:val="0"/>
    <w:rPr>
      <w:rFonts w:ascii="Times New Roman" w:hAnsi="Times New Roman" w:eastAsia="宋体" w:cs="Times New Roman"/>
      <w:lang w:val="en-US" w:eastAsia="zh-CN" w:bidi="ar-SA"/>
    </w:rPr>
  </w:style>
  <w:style w:type="paragraph" w:customStyle="1" w:styleId="86">
    <w:name w:val="列出段落1"/>
    <w:basedOn w:val="1"/>
    <w:qFormat/>
    <w:uiPriority w:val="99"/>
    <w:pPr>
      <w:widowControl/>
      <w:ind w:firstLine="420" w:firstLineChars="200"/>
      <w:jc w:val="left"/>
    </w:pPr>
    <w:rPr>
      <w:rFonts w:ascii="宋体" w:hAnsi="宋体" w:eastAsia="宋体" w:cs="宋体"/>
      <w:color w:val="auto"/>
      <w:kern w:val="0"/>
      <w:sz w:val="24"/>
    </w:rPr>
  </w:style>
  <w:style w:type="paragraph" w:customStyle="1" w:styleId="8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8">
    <w:name w:val="列出段落11"/>
    <w:basedOn w:val="1"/>
    <w:qFormat/>
    <w:uiPriority w:val="0"/>
    <w:pPr>
      <w:ind w:firstLine="420" w:firstLineChars="200"/>
    </w:pPr>
    <w:rPr>
      <w:rFonts w:eastAsia="宋体" w:cs="黑体"/>
      <w:color w:val="auto"/>
      <w:sz w:val="21"/>
      <w:szCs w:val="22"/>
    </w:rPr>
  </w:style>
  <w:style w:type="paragraph" w:customStyle="1" w:styleId="89">
    <w:name w:val="列出段落2"/>
    <w:basedOn w:val="1"/>
    <w:qFormat/>
    <w:uiPriority w:val="34"/>
    <w:pPr>
      <w:ind w:firstLine="420" w:firstLineChars="200"/>
    </w:pPr>
    <w:rPr>
      <w:rFonts w:eastAsia="宋体"/>
      <w:color w:val="auto"/>
      <w:sz w:val="21"/>
    </w:rPr>
  </w:style>
  <w:style w:type="paragraph" w:customStyle="1" w:styleId="90">
    <w:name w:val="_Style 1"/>
    <w:basedOn w:val="1"/>
    <w:qFormat/>
    <w:uiPriority w:val="34"/>
    <w:pPr>
      <w:ind w:firstLine="420" w:firstLineChars="200"/>
    </w:pPr>
    <w:rPr>
      <w:rFonts w:ascii="Calibri" w:hAnsi="Calibri" w:eastAsia="宋体"/>
      <w:color w:val="auto"/>
      <w:sz w:val="21"/>
      <w:szCs w:val="22"/>
    </w:rPr>
  </w:style>
  <w:style w:type="paragraph" w:customStyle="1" w:styleId="91">
    <w:name w:val="_Style 2"/>
    <w:basedOn w:val="1"/>
    <w:qFormat/>
    <w:uiPriority w:val="34"/>
    <w:pPr>
      <w:ind w:firstLine="420" w:firstLineChars="200"/>
    </w:pPr>
    <w:rPr>
      <w:rFonts w:ascii="Calibri" w:hAnsi="Calibri" w:eastAsia="宋体"/>
      <w:color w:val="auto"/>
      <w:sz w:val="21"/>
      <w:szCs w:val="22"/>
    </w:rPr>
  </w:style>
  <w:style w:type="character" w:customStyle="1" w:styleId="92">
    <w:name w:val="个人答复风格"/>
    <w:qFormat/>
    <w:uiPriority w:val="0"/>
    <w:rPr>
      <w:rFonts w:ascii="Arial" w:hAnsi="Arial" w:eastAsia="宋体" w:cs="Arial"/>
      <w:color w:val="auto"/>
      <w:sz w:val="20"/>
    </w:rPr>
  </w:style>
  <w:style w:type="character" w:customStyle="1" w:styleId="93">
    <w:name w:val="个人撰写风格"/>
    <w:qFormat/>
    <w:uiPriority w:val="0"/>
    <w:rPr>
      <w:rFonts w:ascii="Arial" w:hAnsi="Arial" w:eastAsia="宋体" w:cs="Arial"/>
      <w:color w:val="auto"/>
      <w:sz w:val="20"/>
    </w:rPr>
  </w:style>
  <w:style w:type="character" w:customStyle="1" w:styleId="94">
    <w:name w:val="发布"/>
    <w:qFormat/>
    <w:uiPriority w:val="0"/>
    <w:rPr>
      <w:rFonts w:ascii="黑体" w:eastAsia="黑体"/>
      <w:spacing w:val="22"/>
      <w:w w:val="100"/>
      <w:position w:val="3"/>
      <w:sz w:val="28"/>
    </w:rPr>
  </w:style>
  <w:style w:type="paragraph" w:customStyle="1" w:styleId="95">
    <w:name w:val="封面正文"/>
    <w:qFormat/>
    <w:uiPriority w:val="0"/>
    <w:pPr>
      <w:jc w:val="both"/>
    </w:pPr>
    <w:rPr>
      <w:rFonts w:ascii="Times New Roman" w:hAnsi="Times New Roman" w:eastAsia="宋体" w:cs="Times New Roman"/>
      <w:lang w:val="en-US" w:eastAsia="zh-CN" w:bidi="ar-SA"/>
    </w:rPr>
  </w:style>
  <w:style w:type="paragraph" w:customStyle="1" w:styleId="96">
    <w:name w:val="列项——"/>
    <w:qFormat/>
    <w:uiPriority w:val="0"/>
    <w:pPr>
      <w:widowControl w:val="0"/>
      <w:ind w:left="200" w:leftChars="200" w:hanging="200" w:hangingChars="200"/>
      <w:jc w:val="both"/>
    </w:pPr>
    <w:rPr>
      <w:rFonts w:ascii="宋体" w:hAnsi="Times New Roman" w:eastAsia="宋体" w:cs="Times New Roman"/>
      <w:sz w:val="21"/>
      <w:lang w:val="en-US" w:eastAsia="zh-CN" w:bidi="ar-SA"/>
    </w:rPr>
  </w:style>
  <w:style w:type="paragraph" w:customStyle="1" w:styleId="9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98">
    <w:name w:val="示例"/>
    <w:next w:val="99"/>
    <w:qFormat/>
    <w:uiPriority w:val="0"/>
    <w:pPr>
      <w:ind w:firstLine="419" w:firstLineChars="233"/>
      <w:jc w:val="both"/>
    </w:pPr>
    <w:rPr>
      <w:rFonts w:ascii="宋体" w:hAnsi="Times New Roman" w:eastAsia="宋体" w:cs="Times New Roman"/>
      <w:sz w:val="18"/>
      <w:lang w:val="en-US" w:eastAsia="zh-CN" w:bidi="ar-SA"/>
    </w:rPr>
  </w:style>
  <w:style w:type="paragraph" w:customStyle="1" w:styleId="9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0">
    <w:name w:val="附录二级条标题"/>
    <w:basedOn w:val="101"/>
    <w:next w:val="99"/>
    <w:qFormat/>
    <w:uiPriority w:val="0"/>
    <w:pPr>
      <w:outlineLvl w:val="3"/>
    </w:pPr>
  </w:style>
  <w:style w:type="paragraph" w:customStyle="1" w:styleId="101">
    <w:name w:val="附录一级条标题"/>
    <w:basedOn w:val="102"/>
    <w:next w:val="99"/>
    <w:qFormat/>
    <w:uiPriority w:val="0"/>
    <w:pPr>
      <w:autoSpaceDN w:val="0"/>
      <w:outlineLvl w:val="2"/>
    </w:pPr>
  </w:style>
  <w:style w:type="paragraph" w:customStyle="1" w:styleId="102">
    <w:name w:val="附录章标题"/>
    <w:next w:val="99"/>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03">
    <w:name w:val="发布部门"/>
    <w:next w:val="9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104">
    <w:name w:val="一级无标题条"/>
    <w:basedOn w:val="1"/>
    <w:qFormat/>
    <w:uiPriority w:val="0"/>
    <w:rPr>
      <w:rFonts w:eastAsia="宋体"/>
      <w:color w:val="auto"/>
      <w:sz w:val="21"/>
    </w:rPr>
  </w:style>
  <w:style w:type="paragraph" w:customStyle="1" w:styleId="105">
    <w:name w:val="实施日期"/>
    <w:basedOn w:val="106"/>
    <w:qFormat/>
    <w:uiPriority w:val="0"/>
    <w:pPr>
      <w:framePr w:hSpace="0" w:xAlign="right"/>
      <w:jc w:val="right"/>
    </w:pPr>
  </w:style>
  <w:style w:type="paragraph" w:customStyle="1" w:styleId="106">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07">
    <w:name w:val="一级条标题"/>
    <w:basedOn w:val="108"/>
    <w:next w:val="99"/>
    <w:qFormat/>
    <w:uiPriority w:val="0"/>
    <w:pPr>
      <w:outlineLvl w:val="2"/>
    </w:pPr>
  </w:style>
  <w:style w:type="paragraph" w:customStyle="1" w:styleId="108">
    <w:name w:val="章标题"/>
    <w:next w:val="99"/>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109">
    <w:name w:val="正文图标题"/>
    <w:next w:val="99"/>
    <w:qFormat/>
    <w:uiPriority w:val="0"/>
    <w:pPr>
      <w:jc w:val="center"/>
    </w:pPr>
    <w:rPr>
      <w:rFonts w:ascii="黑体" w:hAnsi="Times New Roman" w:eastAsia="黑体" w:cs="Times New Roman"/>
      <w:sz w:val="21"/>
      <w:lang w:val="en-US" w:eastAsia="zh-CN" w:bidi="ar-SA"/>
    </w:rPr>
  </w:style>
  <w:style w:type="paragraph" w:customStyle="1" w:styleId="110">
    <w:name w:val="封面标准号2"/>
    <w:basedOn w:val="111"/>
    <w:qFormat/>
    <w:uiPriority w:val="0"/>
    <w:pPr>
      <w:framePr w:w="9138" w:h="1244" w:hRule="exact" w:wrap="around" w:vAnchor="page" w:hAnchor="margin" w:y="2908"/>
      <w:adjustRightInd w:val="0"/>
      <w:spacing w:before="357" w:line="280" w:lineRule="exact"/>
    </w:pPr>
  </w:style>
  <w:style w:type="paragraph" w:customStyle="1" w:styleId="111">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1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13">
    <w:name w:val="列项·"/>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1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15">
    <w:name w:val="封面标准代替信息"/>
    <w:basedOn w:val="110"/>
    <w:qFormat/>
    <w:uiPriority w:val="0"/>
    <w:pPr>
      <w:spacing w:before="57"/>
    </w:pPr>
    <w:rPr>
      <w:rFonts w:ascii="宋体"/>
      <w:sz w:val="21"/>
    </w:rPr>
  </w:style>
  <w:style w:type="paragraph" w:customStyle="1" w:styleId="116">
    <w:name w:val="附录三级条标题"/>
    <w:basedOn w:val="100"/>
    <w:next w:val="99"/>
    <w:qFormat/>
    <w:uiPriority w:val="0"/>
    <w:pPr>
      <w:outlineLvl w:val="4"/>
    </w:pPr>
  </w:style>
  <w:style w:type="paragraph" w:customStyle="1" w:styleId="117">
    <w:name w:val="附录五级条标题"/>
    <w:basedOn w:val="118"/>
    <w:next w:val="99"/>
    <w:qFormat/>
    <w:uiPriority w:val="0"/>
    <w:pPr>
      <w:outlineLvl w:val="6"/>
    </w:pPr>
  </w:style>
  <w:style w:type="paragraph" w:customStyle="1" w:styleId="118">
    <w:name w:val="附录四级条标题"/>
    <w:basedOn w:val="116"/>
    <w:next w:val="99"/>
    <w:qFormat/>
    <w:uiPriority w:val="0"/>
    <w:pPr>
      <w:outlineLvl w:val="5"/>
    </w:pPr>
  </w:style>
  <w:style w:type="paragraph" w:customStyle="1" w:styleId="119">
    <w:name w:val="三级无标题条"/>
    <w:basedOn w:val="1"/>
    <w:qFormat/>
    <w:uiPriority w:val="0"/>
    <w:rPr>
      <w:rFonts w:eastAsia="宋体"/>
      <w:color w:val="auto"/>
      <w:sz w:val="21"/>
    </w:rPr>
  </w:style>
  <w:style w:type="paragraph" w:customStyle="1" w:styleId="120">
    <w:name w:val="注："/>
    <w:next w:val="99"/>
    <w:qFormat/>
    <w:uiPriority w:val="0"/>
    <w:pPr>
      <w:widowControl w:val="0"/>
      <w:autoSpaceDE w:val="0"/>
      <w:autoSpaceDN w:val="0"/>
      <w:ind w:left="840" w:hanging="420"/>
      <w:jc w:val="both"/>
    </w:pPr>
    <w:rPr>
      <w:rFonts w:ascii="宋体" w:hAnsi="Times New Roman" w:eastAsia="宋体" w:cs="Times New Roman"/>
      <w:sz w:val="18"/>
      <w:lang w:val="en-US" w:eastAsia="zh-CN" w:bidi="ar-SA"/>
    </w:rPr>
  </w:style>
  <w:style w:type="paragraph" w:customStyle="1" w:styleId="12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22">
    <w:name w:val="标准书眉一"/>
    <w:qFormat/>
    <w:uiPriority w:val="0"/>
    <w:pPr>
      <w:jc w:val="both"/>
    </w:pPr>
    <w:rPr>
      <w:rFonts w:ascii="Times New Roman" w:hAnsi="Times New Roman" w:eastAsia="宋体" w:cs="Times New Roman"/>
      <w:lang w:val="en-US" w:eastAsia="zh-CN" w:bidi="ar-SA"/>
    </w:rPr>
  </w:style>
  <w:style w:type="paragraph" w:customStyle="1" w:styleId="12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12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25">
    <w:name w:val="四级无标题条"/>
    <w:basedOn w:val="1"/>
    <w:qFormat/>
    <w:uiPriority w:val="0"/>
    <w:rPr>
      <w:rFonts w:eastAsia="宋体"/>
      <w:color w:val="auto"/>
      <w:sz w:val="21"/>
    </w:rPr>
  </w:style>
  <w:style w:type="paragraph" w:customStyle="1" w:styleId="126">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127">
    <w:name w:val="无标题条"/>
    <w:next w:val="99"/>
    <w:qFormat/>
    <w:uiPriority w:val="0"/>
    <w:pPr>
      <w:jc w:val="both"/>
    </w:pPr>
    <w:rPr>
      <w:rFonts w:ascii="Times New Roman" w:hAnsi="Times New Roman" w:eastAsia="宋体" w:cs="Times New Roman"/>
      <w:sz w:val="21"/>
      <w:lang w:val="en-US" w:eastAsia="zh-CN" w:bidi="ar-SA"/>
    </w:rPr>
  </w:style>
  <w:style w:type="paragraph" w:customStyle="1" w:styleId="128">
    <w:name w:val="修订1"/>
    <w:qFormat/>
    <w:uiPriority w:val="99"/>
    <w:rPr>
      <w:rFonts w:ascii="Times New Roman" w:hAnsi="Times New Roman" w:eastAsia="宋体" w:cs="Times New Roman"/>
      <w:kern w:val="2"/>
      <w:sz w:val="21"/>
      <w:szCs w:val="24"/>
      <w:lang w:val="en-US" w:eastAsia="zh-CN" w:bidi="ar-SA"/>
    </w:rPr>
  </w:style>
  <w:style w:type="paragraph" w:customStyle="1" w:styleId="129">
    <w:name w:val="我的正文"/>
    <w:basedOn w:val="1"/>
    <w:qFormat/>
    <w:uiPriority w:val="0"/>
    <w:pPr>
      <w:spacing w:line="360" w:lineRule="auto"/>
      <w:ind w:firstLine="200" w:firstLineChars="200"/>
    </w:pPr>
    <w:rPr>
      <w:rFonts w:eastAsia="宋体"/>
      <w:color w:val="auto"/>
      <w:kern w:val="0"/>
      <w:sz w:val="21"/>
    </w:rPr>
  </w:style>
  <w:style w:type="paragraph" w:customStyle="1" w:styleId="13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31">
    <w:name w:val="其他发布部门"/>
    <w:basedOn w:val="103"/>
    <w:qFormat/>
    <w:uiPriority w:val="0"/>
    <w:pPr>
      <w:spacing w:line="0" w:lineRule="atLeast"/>
    </w:pPr>
    <w:rPr>
      <w:rFonts w:ascii="黑体" w:eastAsia="黑体"/>
      <w:b w:val="0"/>
    </w:rPr>
  </w:style>
  <w:style w:type="paragraph" w:customStyle="1" w:styleId="132">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33">
    <w:name w:val="条文脚注"/>
    <w:basedOn w:val="32"/>
    <w:qFormat/>
    <w:uiPriority w:val="0"/>
    <w:pPr>
      <w:ind w:left="780" w:leftChars="200" w:hanging="360" w:hangingChars="200"/>
      <w:jc w:val="both"/>
    </w:pPr>
    <w:rPr>
      <w:rFonts w:ascii="宋体"/>
    </w:rPr>
  </w:style>
  <w:style w:type="paragraph" w:customStyle="1" w:styleId="134">
    <w:name w:val="正文表标题"/>
    <w:next w:val="99"/>
    <w:qFormat/>
    <w:uiPriority w:val="0"/>
    <w:pPr>
      <w:jc w:val="center"/>
    </w:pPr>
    <w:rPr>
      <w:rFonts w:ascii="黑体" w:hAnsi="Times New Roman" w:eastAsia="黑体" w:cs="Times New Roman"/>
      <w:sz w:val="21"/>
      <w:lang w:val="en-US" w:eastAsia="zh-CN" w:bidi="ar-SA"/>
    </w:rPr>
  </w:style>
  <w:style w:type="paragraph" w:customStyle="1" w:styleId="135">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36">
    <w:name w:val="四级条标题"/>
    <w:basedOn w:val="137"/>
    <w:next w:val="99"/>
    <w:qFormat/>
    <w:uiPriority w:val="0"/>
    <w:pPr>
      <w:outlineLvl w:val="5"/>
    </w:pPr>
  </w:style>
  <w:style w:type="paragraph" w:customStyle="1" w:styleId="137">
    <w:name w:val="三级条标题"/>
    <w:basedOn w:val="138"/>
    <w:next w:val="99"/>
    <w:qFormat/>
    <w:uiPriority w:val="0"/>
    <w:pPr>
      <w:outlineLvl w:val="4"/>
    </w:pPr>
  </w:style>
  <w:style w:type="paragraph" w:customStyle="1" w:styleId="138">
    <w:name w:val="二级条标题"/>
    <w:basedOn w:val="107"/>
    <w:next w:val="99"/>
    <w:qFormat/>
    <w:uiPriority w:val="0"/>
    <w:pPr>
      <w:outlineLvl w:val="3"/>
    </w:pPr>
  </w:style>
  <w:style w:type="paragraph" w:customStyle="1" w:styleId="139">
    <w:name w:val="目次、标准名称标题"/>
    <w:basedOn w:val="140"/>
    <w:next w:val="99"/>
    <w:qFormat/>
    <w:uiPriority w:val="0"/>
    <w:pPr>
      <w:spacing w:line="460" w:lineRule="exact"/>
    </w:pPr>
  </w:style>
  <w:style w:type="paragraph" w:customStyle="1" w:styleId="140">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41">
    <w:name w:val="二级无标题条"/>
    <w:basedOn w:val="1"/>
    <w:qFormat/>
    <w:uiPriority w:val="0"/>
    <w:rPr>
      <w:rFonts w:eastAsia="宋体"/>
      <w:color w:val="auto"/>
      <w:sz w:val="21"/>
    </w:rPr>
  </w:style>
  <w:style w:type="paragraph" w:customStyle="1" w:styleId="142">
    <w:name w:val="附录图标题"/>
    <w:next w:val="99"/>
    <w:qFormat/>
    <w:uiPriority w:val="0"/>
    <w:pPr>
      <w:jc w:val="center"/>
    </w:pPr>
    <w:rPr>
      <w:rFonts w:ascii="黑体" w:hAnsi="Times New Roman" w:eastAsia="黑体" w:cs="Times New Roman"/>
      <w:sz w:val="21"/>
      <w:lang w:val="en-US" w:eastAsia="zh-CN" w:bidi="ar-SA"/>
    </w:rPr>
  </w:style>
  <w:style w:type="paragraph" w:customStyle="1" w:styleId="14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44">
    <w:name w:val="图表脚注"/>
    <w:next w:val="99"/>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45">
    <w:name w:val="附录标识"/>
    <w:basedOn w:val="140"/>
    <w:qFormat/>
    <w:uiPriority w:val="0"/>
    <w:pPr>
      <w:tabs>
        <w:tab w:val="left" w:pos="6405"/>
      </w:tabs>
      <w:spacing w:after="200"/>
    </w:pPr>
    <w:rPr>
      <w:sz w:val="21"/>
    </w:rPr>
  </w:style>
  <w:style w:type="paragraph" w:customStyle="1" w:styleId="146">
    <w:name w:val="附录表标题"/>
    <w:next w:val="99"/>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47">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4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49">
    <w:name w:val="注×："/>
    <w:qFormat/>
    <w:uiPriority w:val="0"/>
    <w:pPr>
      <w:widowControl w:val="0"/>
      <w:autoSpaceDE w:val="0"/>
      <w:autoSpaceDN w:val="0"/>
      <w:ind w:left="900" w:hanging="500"/>
      <w:jc w:val="both"/>
    </w:pPr>
    <w:rPr>
      <w:rFonts w:ascii="宋体" w:hAnsi="Times New Roman" w:eastAsia="宋体" w:cs="Times New Roman"/>
      <w:sz w:val="18"/>
      <w:lang w:val="en-US" w:eastAsia="zh-CN" w:bidi="ar-SA"/>
    </w:rPr>
  </w:style>
  <w:style w:type="paragraph" w:customStyle="1" w:styleId="150">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51">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152">
    <w:name w:val="参考文献、索引标题"/>
    <w:basedOn w:val="140"/>
    <w:next w:val="1"/>
    <w:qFormat/>
    <w:uiPriority w:val="0"/>
    <w:pPr>
      <w:spacing w:after="200"/>
    </w:pPr>
    <w:rPr>
      <w:sz w:val="21"/>
    </w:rPr>
  </w:style>
  <w:style w:type="paragraph" w:customStyle="1" w:styleId="153">
    <w:name w:val="标准书眉_偶数页"/>
    <w:basedOn w:val="114"/>
    <w:next w:val="1"/>
    <w:qFormat/>
    <w:uiPriority w:val="0"/>
    <w:pPr>
      <w:jc w:val="left"/>
    </w:pPr>
  </w:style>
  <w:style w:type="paragraph" w:customStyle="1" w:styleId="154">
    <w:name w:val="五级条标题"/>
    <w:basedOn w:val="136"/>
    <w:next w:val="99"/>
    <w:qFormat/>
    <w:uiPriority w:val="0"/>
    <w:pPr>
      <w:outlineLvl w:val="6"/>
    </w:pPr>
  </w:style>
  <w:style w:type="paragraph" w:customStyle="1" w:styleId="155">
    <w:name w:val="五级无标题条"/>
    <w:basedOn w:val="1"/>
    <w:qFormat/>
    <w:uiPriority w:val="0"/>
    <w:rPr>
      <w:rFonts w:eastAsia="宋体"/>
      <w:color w:val="auto"/>
      <w:sz w:val="21"/>
    </w:rPr>
  </w:style>
  <w:style w:type="paragraph" w:customStyle="1" w:styleId="156">
    <w:name w:val="表格中文字"/>
    <w:basedOn w:val="1"/>
    <w:next w:val="1"/>
    <w:qFormat/>
    <w:uiPriority w:val="0"/>
    <w:pPr>
      <w:jc w:val="center"/>
    </w:pPr>
    <w:rPr>
      <w:rFonts w:eastAsia="宋体"/>
      <w:color w:val="auto"/>
      <w:sz w:val="18"/>
      <w:szCs w:val="22"/>
    </w:rPr>
  </w:style>
  <w:style w:type="paragraph" w:customStyle="1" w:styleId="157">
    <w:name w:val="二级无"/>
    <w:basedOn w:val="138"/>
    <w:qFormat/>
    <w:uiPriority w:val="0"/>
    <w:pPr>
      <w:tabs>
        <w:tab w:val="left" w:pos="0"/>
      </w:tabs>
      <w:spacing w:beforeLines="0" w:afterLines="0"/>
      <w:jc w:val="left"/>
    </w:pPr>
    <w:rPr>
      <w:rFonts w:ascii="宋体" w:eastAsia="宋体"/>
      <w:szCs w:val="21"/>
    </w:rPr>
  </w:style>
  <w:style w:type="paragraph" w:customStyle="1" w:styleId="158">
    <w:name w:val="三级无"/>
    <w:basedOn w:val="137"/>
    <w:qFormat/>
    <w:uiPriority w:val="0"/>
    <w:pPr>
      <w:tabs>
        <w:tab w:val="left" w:pos="0"/>
      </w:tabs>
      <w:spacing w:beforeLines="0" w:afterLines="0"/>
      <w:jc w:val="left"/>
    </w:pPr>
    <w:rPr>
      <w:rFonts w:ascii="宋体" w:eastAsia="宋体"/>
      <w:szCs w:val="21"/>
    </w:rPr>
  </w:style>
  <w:style w:type="paragraph" w:customStyle="1" w:styleId="159">
    <w:name w:val="一级无"/>
    <w:basedOn w:val="107"/>
    <w:qFormat/>
    <w:uiPriority w:val="0"/>
    <w:pPr>
      <w:tabs>
        <w:tab w:val="left" w:pos="0"/>
      </w:tabs>
      <w:spacing w:beforeLines="0" w:afterLines="0"/>
      <w:jc w:val="left"/>
    </w:pPr>
    <w:rPr>
      <w:rFonts w:ascii="宋体" w:eastAsia="宋体"/>
      <w:szCs w:val="21"/>
    </w:rPr>
  </w:style>
  <w:style w:type="paragraph" w:customStyle="1" w:styleId="160">
    <w:name w:val="列出段落3"/>
    <w:basedOn w:val="1"/>
    <w:qFormat/>
    <w:uiPriority w:val="99"/>
    <w:pPr>
      <w:ind w:firstLine="420" w:firstLineChars="200"/>
    </w:pPr>
    <w:rPr>
      <w:rFonts w:ascii="Calibri" w:hAnsi="Calibri" w:eastAsia="宋体"/>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emf"/><Relationship Id="rId27" Type="http://schemas.openxmlformats.org/officeDocument/2006/relationships/image" Target="media/image20.emf"/><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emf"/><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44</Pages>
  <Words>3692</Words>
  <Characters>21045</Characters>
  <Lines>175</Lines>
  <Paragraphs>49</Paragraphs>
  <TotalTime>1</TotalTime>
  <ScaleCrop>false</ScaleCrop>
  <LinksUpToDate>false</LinksUpToDate>
  <CharactersWithSpaces>24688</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2022-04-22T01:09:00Z</dcterms:created>
  <dc:creator>彭渝</dc:creator>
  <cp:lastModifiedBy>greatwall</cp:lastModifiedBy>
  <cp:lastPrinted>2022-04-14T02:41:00Z</cp:lastPrinted>
  <dcterms:modified xsi:type="dcterms:W3CDTF">2024-06-14T14:56:23Z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806DBB50B78048738B1396970B4B357A</vt:lpwstr>
  </property>
</Properties>
</file>