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center"/>
        <w:rPr>
          <w:color w:val="333333"/>
          <w:sz w:val="45"/>
          <w:szCs w:val="45"/>
        </w:rPr>
      </w:pPr>
      <w:r>
        <w:rPr>
          <w:rFonts w:ascii="微软雅黑" w:hAnsi="微软雅黑" w:eastAsia="微软雅黑" w:cs="微软雅黑"/>
          <w:i w:val="0"/>
          <w:caps w:val="0"/>
          <w:color w:val="333333"/>
          <w:spacing w:val="0"/>
          <w:sz w:val="45"/>
          <w:szCs w:val="45"/>
          <w:shd w:val="clear" w:fill="FFFFFF"/>
        </w:rPr>
        <w:t>重庆市巴南区人民政府一品街道办事处2019年度部门决算情况说明</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shd w:val="clear" w:fill="FFFFFF"/>
        </w:rPr>
        <w:t>一、部门基本情况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shd w:val="clear" w:fill="FFFFFF"/>
        </w:rPr>
        <w:t>（一）职能职责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shd w:val="clear" w:fill="FFFFFF"/>
        </w:rPr>
        <w:t>1、贯彻落实党和国家的路线、方针、政策以及区委、区政府的工作部署。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shd w:val="clear" w:fill="FFFFFF"/>
        </w:rPr>
        <w:t>2、对辖区内的地区性、社会性、群众工作全面负责，以社区建设为中心，以城市管理、社会保障为重点，实现基层基础工作社区化，社区建设社会化。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shd w:val="clear" w:fill="FFFFFF"/>
        </w:rPr>
        <w:t>3、负责辖区内党建工作，领导、协调辖区内企事业单位和居民中的党组织以及受区委委托管理的党组织，负责抓好其思想、组织、作风建设，做好党风廉政建设工作和党的纪律检查工作，协调党政群各组织的活动和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shd w:val="clear" w:fill="FFFFFF"/>
        </w:rPr>
        <w:t>4、负责辖区内民政、司法、社会保障、人民武装、社会治安综合治理等相关工作，制定街道经济、社会发展计划并组织实施，为辖区经济发展和社会进步创造良好的环境。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shd w:val="clear" w:fill="FFFFFF"/>
        </w:rPr>
        <w:t>5、统筹协调专业管理部门在本辖区的基层工作，协调和管理环保、文体、教育、卫生、残联、老龄等相关工作。 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shd w:val="clear" w:fill="FFFFFF"/>
        </w:rPr>
        <w:t>（二）机构设置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shd w:val="clear" w:fill="FFFFFF"/>
        </w:rPr>
        <w:t>一品街道办事处内设综合办事机构6个，分别是党政办公室、经济发展科、社会事务科、社会治安综合治理委员会办公室、规划建设管理环保办公室、食品药品监督管理办公室。内设公益性事业机构5个，分别是农业服务中心、文化服务中心、财政所、社会保障服务所、畜牧兽医站。其他派出机构2个，分别是司法所、城市管理综合行政执法支队市政中队,与上年保持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shd w:val="clear" w:fill="FFFFFF"/>
        </w:rPr>
        <w:t>（三）单位构成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shd w:val="clear" w:fill="FFFFFF"/>
        </w:rPr>
        <w:t>从预算单位构成看，纳入本部门2019年度决算编制的二级预算单位主要包括党政办公室、经济发展科、社会事务科、社会治安综合治理委员会办公室、规划建设管理环保办公室、食品药品监督管理办公室、农业服务中心、文化服务中心、财政所、社会保障服务所、畜牧兽医站、司法所、城市管理综合行政执法支队市政中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shd w:val="clear" w:fill="FFFFFF"/>
        </w:rPr>
        <w:t>二、部门决算情况说明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shd w:val="clear" w:fill="FFFFFF"/>
        </w:rPr>
        <w:t>（一）收入支出决算总体情况说明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shd w:val="clear" w:fill="FFFFFF"/>
        </w:rPr>
        <w:t>1.总体情况。2019年度收入总计4,791.03万元，支出总计4,791.03万元。收支较上年决算数增加366.93万元、增长8.29%，主要原因是民政优抚经费调标、村居运转经费调标、工资调标、目标考核调标和价格临时补贴等。本部分的收入总计包括收入合计、用事业基金弥补收支差额、年初结转和结余，支出总计包括本年支出合计、结余分配、年末结转和结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shd w:val="clear" w:fill="FFFFFF"/>
        </w:rPr>
        <w:t>2.收入情况。2019年度收入合计4,791.03万元，较上年决算数增加366.93万元，增长8.29%，主要原因是民政优抚经费调标、村居运转经费调标、工资调标、目标考核调标和价格临时补贴等。其中：财政拨款收入4,791.03万元，占100.00%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shd w:val="clear" w:fill="FFFFFF"/>
        </w:rPr>
        <w:t>3.支出情况。2019年度支出合计4,791.03万元，较上年决算数增加366.93万元，增长8.29%，主要原因是民政优抚经费调标、村居运转经费调标、工资调标、目标考核调标和价格临时补贴等。其中：基本支出1,941.56万元，占40.52%；项目支出2,849.47万元，占59.48%。</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shd w:val="clear" w:fill="FFFFFF"/>
        </w:rPr>
        <w:t>4.结转结余情况。2019年度年末结转和结余0.00万元，较上年决算数增加0.00万元，增长0.00%。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shd w:val="clear" w:fill="FFFFFF"/>
        </w:rPr>
        <w:t>（二）财政拨款收入支出决算总体情况说明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shd w:val="clear" w:fill="FFFFFF"/>
        </w:rPr>
        <w:t>2019年度财政拨款收、支总计4,791.03万元。与2018年相比，财政拨款收、支总计各增加366.93万元，增长8.29%。主要原因是民政优抚经费调标、村居运转经费调标、工资调标、目标考核调标和价格临时补贴等。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shd w:val="clear" w:fill="FFFFFF"/>
        </w:rPr>
        <w:t>（三）一般公共预算财政拨款支出决算情况说明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shd w:val="clear" w:fill="FFFFFF"/>
        </w:rPr>
        <w:t>1.收入情况。2019年度一般公共预算财政拨款收入4,508.42万元，较上年决算数增加84.32万元，增长1.91%。主要原因是主要原因是民政优抚经费调标、村居运转经费调标、工资调标和目标考核调标等。较年初预算数增加1,770.05万元，增长64.64%。主要原因是区级部门安排的一体资金、公路建设资金等专项资金增加。此外，年初财政拨款结转和结余0.00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shd w:val="clear" w:fill="FFFFFF"/>
        </w:rPr>
        <w:t>2.支出情况。2019年度一般公共预算财政拨款支出4,508.42万元，较上年决算数增加84.32万元，增长1.91%。主要原因是民政优抚经费调标、村居运转经费调标、工资调标和目标考核调标等。较年初预算数增加1,770.05万元，增长64.64%。主要原因是区级部门安排的一体资金、公路建设资金等专项资金增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shd w:val="clear" w:fill="FFFFFF"/>
        </w:rPr>
        <w:t>3.结转结余情况。2019年度年末一般公共预算财政拨款结转和结余0.00万元，较上年决算数增加0.00万元，增长0.00%。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shd w:val="clear" w:fill="FFFFFF"/>
        </w:rPr>
        <w:t>4.比较情况。本部门2019年度一般公共预算财政拨款支出主要用于以下几个方面：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shd w:val="clear" w:fill="FFFFFF"/>
        </w:rPr>
        <w:t>（1）一般公共服务支出894.00万元，占19.83%，较年初预算数减少287.30万元，下降24.32%，主要原因是公务用车运行费，办公费，维修费，劳务费等减少。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shd w:val="clear" w:fill="FFFFFF"/>
        </w:rPr>
        <w:t>（2）公共安全支出42.99万元，占0.95%，较年初预算数增加9.68万元，增长29.06%，主要原因是司法行政运行人员经费和公用经费增加。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shd w:val="clear" w:fill="FFFFFF"/>
        </w:rPr>
        <w:t>（3）文化旅游体育与传媒支出131.00万元，占2.91%，较年初预算数增加40.08万元，增长44.08%，主要原因是增加人员经费、公用经费、文化楼免费开放经费等。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shd w:val="clear" w:fill="FFFFFF"/>
        </w:rPr>
        <w:t>（4）社会保障与就业支出1,399.00万元，占31.03%，较年初预算数增加663.94万元，增长90.32%，主要原因是增加民政优抚经费调标、价格临时补贴等。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shd w:val="clear" w:fill="FFFFFF"/>
        </w:rPr>
        <w:t>（5）卫生健康支出149.00万元，占3.30%，较年初预算数增加26.18万元，增长21.32%，主要原因是增加精神病人医药费经费、优抚对象医疗费等。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shd w:val="clear" w:fill="FFFFFF"/>
        </w:rPr>
        <w:t>（6）城乡社区支出470.00万元，占10.42%，较年初预算数增加438.64万元，增长1,398.72%，主要原因是增加市政设施维修维护、城市和农村垃圾清运、创卫工作等经费。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shd w:val="clear" w:fill="FFFFFF"/>
        </w:rPr>
        <w:t>（7）农林水支出905.00万元，占20.07%，较年初预算数增加450.63万元，增长99.18%，主要原因是增加农业行政运行的人员经费、公用经费，村居运转经费调标等。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shd w:val="clear" w:fill="FFFFFF"/>
        </w:rPr>
        <w:t>（8）自然资源海洋气象等支出312.00万元，占6.92%，较年初预算数增加312.00万元，增长0.00%，主要原因是增加拆除“四山”违法违规建筑复绿项目。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shd w:val="clear" w:fill="FFFFFF"/>
        </w:rPr>
        <w:t>（9）住房保障支出205.43万元，占4.56%，较年初预算数增加116.20万元，增长130.23%，主要原因是在职职工住房补贴、住房公积金基数调整。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shd w:val="clear" w:fill="FFFFFF"/>
        </w:rPr>
        <w:t>（四）一般公共预算财政拨款基本支出决算情况说明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shd w:val="clear" w:fill="FFFFFF"/>
        </w:rPr>
        <w:t>2019年度一般公共财政拨款基本支出1,941.56万元。其中：人员经费1,662.13万元，较上年决算数减少38.51万元，下降2.26%，主要原因是维修费、公务用车运行费、宣传费用等的减少。人员经费用途主要包括：基本工资、津贴补贴、奖金、绩效工资、基本养老保险费、住房公积金等。公用经费279.42万元，较上年决算数减少135.30万元，下降32.62%，主要原因是维修费、劳务费等的减少。公用经费用途主要包括办公费、劳务费、邮电费、差旅费、维修维护费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shd w:val="clear" w:fill="FFFFFF"/>
        </w:rPr>
        <w:t>（五）政府性基金预算收支决算情况说明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shd w:val="clear" w:fill="FFFFFF"/>
        </w:rPr>
        <w:t>2019年度政府性基金预算财政拨款年初结转结余0.00万元，年末结转结余0.00万元。本年收入282.61万元，较上年决算数增加282.61万元，增长0.00%，主要原因是社区养老服务站建设、敬老院维修维护费、农村公路建设的增加。本年支出282.61万元，较上年决算数增加282.61万元，增长0.00%，主要原因是社区养老服务站建设12万元，敬老院维修维护费10万元，农村公路建设260.61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shd w:val="clear" w:fill="FFFFFF"/>
        </w:rPr>
        <w:t>三、“三公”经费情况说明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shd w:val="clear" w:fill="FFFFFF"/>
        </w:rPr>
        <w:t>（一）“三公”经费支出总体情况说明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shd w:val="clear" w:fill="FFFFFF"/>
        </w:rPr>
        <w:t>2019年度“三公”经费支出共计19.43万元，较年初预算数减少10.57万元，下降35.23%，主要原因是公务用车运行维护费减少。较上年支出数减少8.57万元，下降30.61%，主要原因是一是认真贯彻落实中央八项规定精神，按照只减不增的要求从严控制“三公”经费，全年实际支出较预算和决算均有所下降。二是严格落实公车使用规定，公车运行维护成本大幅下降。三是强化公务接待支出管理，严格遵守公务接待开支范围和开支标准，严格控制陪餐人数，对应由接待对象承担的费用一律由接待对象自行支付，公务接待费大幅下降。四是进一步规范因公出国（境）活动，今年未安排人员出国出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shd w:val="clear" w:fill="FFFFFF"/>
        </w:rPr>
        <w:t>（二）“三公”经费分项支出情况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shd w:val="clear" w:fill="FFFFFF"/>
        </w:rPr>
        <w:t>2019年度本部门因公出国（境）费用0.00万元，费用支出较年初预算数增加0.00万元，增长0.00%，本单位未发生因公出国（境）费用支出。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shd w:val="clear" w:fill="FFFFFF"/>
        </w:rPr>
        <w:t>公务车购置费0.00万元，费用支出较年初预算数增加0.00万元，增长0.00%，较上年支出数增加0.00万元，增长0.00%，本单位2019年度未发生公务车购置费支出。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shd w:val="clear" w:fill="FFFFFF"/>
        </w:rPr>
        <w:t>公务车运行维护费13.08万元，主要用于油费、洗车费、驾驶员里程补助等。费用支出较年初预算数减少6.92万元，下降34.60%，主要原因是严格落实公车使用规定，严禁公车私用。较上年支出数减少8.56万元，下降39.56%，主要原因是车辆报废维修费减少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shd w:val="clear" w:fill="FFFFFF"/>
        </w:rPr>
        <w:t>公务接待费6.35万元，主要用于接待接受相关部门检查指导工作发生的接待支出等。费用支出较年初预算数减少3.65万元，下降36.50%，主要原因是严格遵守公务接待开支范围和开支标准，严格控制陪餐人数。较上年支出数减少0.01万元，下降0.16%，主要原因是严格控制陪餐人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shd w:val="clear" w:fill="FFFFFF"/>
        </w:rPr>
        <w:t>（三）“三公”经费实物量情况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shd w:val="clear" w:fill="FFFFFF"/>
        </w:rPr>
        <w:t>2019年度本部门因公出国（境）共计0个团组，0人；公务用车购置0辆，公务车保有量为13辆；国内公务接待213批次2,096人，其中：国内外事接待0批次，0人；国（境）外公务接待0批次，0人。2019年本部门人均接待费30.31元，车均购置费0.00万元，车均维护费1.01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shd w:val="clear" w:fill="FFFFFF"/>
        </w:rPr>
        <w:t>四、其他需要说明的事项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shd w:val="clear" w:fill="FFFFFF"/>
        </w:rPr>
        <w:t>（一）机关运行经费情况说明。2019年度本部门机关运行经费支出279.42万元，机关运行经费主要用于开支办公费、公务车运行维护费等。机关运行经费较上年决算数减少135.30万元，下降32.62%，主要原因是劳务费、维修费、公务用车运行费等的减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shd w:val="clear" w:fill="FFFFFF"/>
        </w:rPr>
        <w:t>此外，本年度一般公共预算财政拨款会议费支出0.17万元，较上年决算数减少0.63万元，下降78.75%，主要原因是会议次数的减少。本年度一般公共预算财政拨款培训费支出4.17万元，较上年决算数增加3.34万元，增长402.41%，主要原因是培训次数、人数增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shd w:val="clear" w:fill="FFFFFF"/>
        </w:rPr>
        <w:t>（二）国有资产占用情况说明。截至2019年12月31日，本部门共有车辆13辆，其中，副部（省）级及以上领导用车0辆、主要领导干部用车0辆、机要通信用车3辆、应急保障用车9辆、执法执勤用车0辆，特种专业技术用车1辆，离退休干部用车0辆，其他用车0辆。单价50万元（含）以上通用设备0台（套），单价100万元（含）以上专用设备0台（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shd w:val="clear" w:fill="FFFFFF"/>
        </w:rPr>
        <w:t>（三）政府采购支出情况说明。2019年度本部门政府采购支出总额0.00万元，其中：政府采购货物支出0.00万元、政府采购工程支出0.00万元、政府采购服务支出0.00万元。授予中小企业合同金额0.00万元，占政府采购支出总额的0.00%，其中：授予小微企业合同金额0.00万元，占政府采购支出总额的0.00%。2019年度我单位未发生政府采购事项，无相关经费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shd w:val="clear" w:fill="FFFFFF"/>
        </w:rPr>
        <w:t>五、预算绩效管理情况说明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shd w:val="clear" w:fill="FFFFFF"/>
        </w:rPr>
        <w:t>（一）预算绩效管理工作开展情况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shd w:val="clear" w:fill="FFFFFF"/>
        </w:rPr>
        <w:t>根据预算绩效管理要求，本部门对85个项目开展了绩效自评，其中，以填报目标自评表形式开展自评85项，涉及资金1884.08万元；从评价情况来看，保证了环境卫生保洁工作的常态化、规范化，提升群众卫生意识，使在册享受对象得到生活补助，改善生活，提高了市民生活质量和幸福指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shd w:val="clear" w:fill="FFFFFF"/>
        </w:rPr>
        <w:t>（二）绩效自评结果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shd w:val="clear" w:fill="FFFFFF"/>
        </w:rPr>
        <w:t>2019年少数民族发展资金项目绩效目标自评综述：根据年初设定的绩效目标，项目总体完成情况已修建50立方米蓄水池1座，PVC管道3900米，闸阀井6个。项目全年预算数为20万元，执行数为20万元，完成预算的100%。主要产出和效果：一是修建50方蓄水池1座，二是安装PVC管道3900米，保障263户819人饮水问题。发现的问题项目资金使用和监管不规范，原因由于项目由村自建，资金使用和监管不便。下一步改进措施加强村级项目管理培训，逐步规范项目资金使用管理。</w:t>
      </w:r>
    </w:p>
    <w:tbl>
      <w:tblPr>
        <w:tblStyle w:val="3"/>
        <w:tblW w:w="10995" w:type="dxa"/>
        <w:jc w:val="center"/>
        <w:tblInd w:w="-126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342"/>
        <w:gridCol w:w="1152"/>
        <w:gridCol w:w="1343"/>
        <w:gridCol w:w="1600"/>
        <w:gridCol w:w="1689"/>
        <w:gridCol w:w="1336"/>
        <w:gridCol w:w="25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jc w:val="center"/>
        </w:trPr>
        <w:tc>
          <w:tcPr>
            <w:tcW w:w="10995" w:type="dxa"/>
            <w:gridSpan w:val="7"/>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480"/>
              <w:jc w:val="center"/>
              <w:rPr>
                <w:rFonts w:hint="eastAsia" w:ascii="宋体" w:hAnsi="宋体" w:eastAsia="宋体" w:cs="宋体"/>
                <w:sz w:val="24"/>
                <w:szCs w:val="24"/>
              </w:rPr>
            </w:pPr>
            <w:r>
              <w:rPr>
                <w:rFonts w:hint="eastAsia" w:ascii="宋体" w:hAnsi="宋体" w:eastAsia="宋体" w:cs="宋体"/>
                <w:color w:val="333333"/>
                <w:sz w:val="28"/>
                <w:szCs w:val="28"/>
              </w:rPr>
              <w:t>项目资金绩效目标自评表 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10995" w:type="dxa"/>
            <w:gridSpan w:val="7"/>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420"/>
              <w:jc w:val="center"/>
              <w:rPr>
                <w:rFonts w:hint="eastAsia" w:ascii="宋体" w:hAnsi="宋体" w:eastAsia="宋体" w:cs="宋体"/>
                <w:sz w:val="24"/>
                <w:szCs w:val="24"/>
              </w:rPr>
            </w:pPr>
            <w:r>
              <w:rPr>
                <w:rFonts w:hint="eastAsia" w:ascii="宋体" w:hAnsi="宋体" w:eastAsia="宋体" w:cs="宋体"/>
                <w:color w:val="333333"/>
                <w:sz w:val="28"/>
                <w:szCs w:val="28"/>
              </w:rPr>
              <w:t>（2019年度）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3837" w:type="dxa"/>
            <w:gridSpan w:val="3"/>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570"/>
              <w:jc w:val="center"/>
              <w:rPr>
                <w:color w:val="333333"/>
                <w:sz w:val="24"/>
                <w:szCs w:val="24"/>
              </w:rPr>
            </w:pPr>
          </w:p>
        </w:tc>
        <w:tc>
          <w:tcPr>
            <w:tcW w:w="16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570"/>
              <w:jc w:val="center"/>
              <w:rPr>
                <w:color w:val="333333"/>
                <w:sz w:val="24"/>
                <w:szCs w:val="24"/>
              </w:rPr>
            </w:pPr>
          </w:p>
        </w:tc>
        <w:tc>
          <w:tcPr>
            <w:tcW w:w="1689"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570"/>
              <w:jc w:val="center"/>
              <w:rPr>
                <w:color w:val="333333"/>
                <w:sz w:val="24"/>
                <w:szCs w:val="24"/>
              </w:rPr>
            </w:pPr>
          </w:p>
        </w:tc>
        <w:tc>
          <w:tcPr>
            <w:tcW w:w="1336"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570"/>
              <w:jc w:val="center"/>
              <w:rPr>
                <w:color w:val="333333"/>
                <w:sz w:val="24"/>
                <w:szCs w:val="24"/>
              </w:rPr>
            </w:pPr>
          </w:p>
        </w:tc>
        <w:tc>
          <w:tcPr>
            <w:tcW w:w="2533"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570"/>
              <w:jc w:val="center"/>
              <w:rPr>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1342"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rPr>
              <w:t>专项（项目）名称</w:t>
            </w:r>
          </w:p>
        </w:tc>
        <w:tc>
          <w:tcPr>
            <w:tcW w:w="4095" w:type="dxa"/>
            <w:gridSpan w:val="3"/>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rPr>
              <w:t>2019年少数民族发展资金</w:t>
            </w:r>
          </w:p>
        </w:tc>
        <w:tc>
          <w:tcPr>
            <w:tcW w:w="1689"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rPr>
              <w:t>联系人及电话</w:t>
            </w:r>
          </w:p>
        </w:tc>
        <w:tc>
          <w:tcPr>
            <w:tcW w:w="3869"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rPr>
              <w:t>刘洪林17782316828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1342"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rPr>
              <w:t>主管部门</w:t>
            </w:r>
          </w:p>
        </w:tc>
        <w:tc>
          <w:tcPr>
            <w:tcW w:w="4095" w:type="dxa"/>
            <w:gridSpan w:val="3"/>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rPr>
              <w:t>区民宗侨办</w:t>
            </w:r>
          </w:p>
        </w:tc>
        <w:tc>
          <w:tcPr>
            <w:tcW w:w="1689"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rPr>
              <w:t>实施单位</w:t>
            </w:r>
          </w:p>
        </w:tc>
        <w:tc>
          <w:tcPr>
            <w:tcW w:w="3869"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rPr>
              <w:t>农服中心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1342" w:type="dxa"/>
            <w:vMerge w:val="restart"/>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rPr>
              <w:t>项目资金（万元）</w:t>
            </w:r>
          </w:p>
        </w:tc>
        <w:tc>
          <w:tcPr>
            <w:tcW w:w="4095" w:type="dxa"/>
            <w:gridSpan w:val="3"/>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rPr>
              <w:t>全年预算数（A）</w:t>
            </w:r>
          </w:p>
        </w:tc>
        <w:tc>
          <w:tcPr>
            <w:tcW w:w="3025"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rPr>
              <w:t>全年执行数（B）</w:t>
            </w:r>
          </w:p>
        </w:tc>
        <w:tc>
          <w:tcPr>
            <w:tcW w:w="2533"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rPr>
              <w:t>执行率（B/A,%)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1342"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jc w:val="center"/>
              <w:rPr>
                <w:rFonts w:hint="eastAsia" w:ascii="宋体"/>
                <w:color w:val="333333"/>
                <w:sz w:val="24"/>
                <w:szCs w:val="24"/>
              </w:rPr>
            </w:pPr>
          </w:p>
        </w:tc>
        <w:tc>
          <w:tcPr>
            <w:tcW w:w="2495"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rPr>
              <w:t>总量</w:t>
            </w:r>
          </w:p>
        </w:tc>
        <w:tc>
          <w:tcPr>
            <w:tcW w:w="16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rPr>
              <w:t>20</w:t>
            </w:r>
          </w:p>
        </w:tc>
        <w:tc>
          <w:tcPr>
            <w:tcW w:w="1689"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rPr>
              <w:t>总量</w:t>
            </w:r>
          </w:p>
        </w:tc>
        <w:tc>
          <w:tcPr>
            <w:tcW w:w="1336"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rPr>
              <w:t>20</w:t>
            </w:r>
          </w:p>
        </w:tc>
        <w:tc>
          <w:tcPr>
            <w:tcW w:w="2533"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1342"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jc w:val="center"/>
              <w:rPr>
                <w:rFonts w:hint="eastAsia" w:ascii="宋体"/>
                <w:color w:val="333333"/>
                <w:sz w:val="24"/>
                <w:szCs w:val="24"/>
              </w:rPr>
            </w:pPr>
          </w:p>
        </w:tc>
        <w:tc>
          <w:tcPr>
            <w:tcW w:w="2495"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420"/>
              <w:jc w:val="center"/>
              <w:rPr>
                <w:rFonts w:hint="eastAsia" w:ascii="宋体" w:hAnsi="宋体" w:eastAsia="宋体" w:cs="宋体"/>
                <w:sz w:val="24"/>
                <w:szCs w:val="24"/>
              </w:rPr>
            </w:pPr>
            <w:r>
              <w:rPr>
                <w:rFonts w:hint="eastAsia" w:ascii="宋体" w:hAnsi="宋体" w:eastAsia="宋体" w:cs="宋体"/>
                <w:color w:val="333333"/>
                <w:sz w:val="28"/>
                <w:szCs w:val="28"/>
              </w:rPr>
              <w:t>其中：财政资金</w:t>
            </w:r>
          </w:p>
        </w:tc>
        <w:tc>
          <w:tcPr>
            <w:tcW w:w="16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rPr>
              <w:t>20</w:t>
            </w:r>
          </w:p>
        </w:tc>
        <w:tc>
          <w:tcPr>
            <w:tcW w:w="1689"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rPr>
              <w:t>其中：财政资金</w:t>
            </w:r>
          </w:p>
        </w:tc>
        <w:tc>
          <w:tcPr>
            <w:tcW w:w="1336"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rPr>
              <w:t>20</w:t>
            </w:r>
          </w:p>
        </w:tc>
        <w:tc>
          <w:tcPr>
            <w:tcW w:w="2533"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1342" w:type="dxa"/>
            <w:vMerge w:val="restart"/>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rPr>
              <w:t>年度总体目标</w:t>
            </w:r>
          </w:p>
        </w:tc>
        <w:tc>
          <w:tcPr>
            <w:tcW w:w="5784" w:type="dxa"/>
            <w:gridSpan w:val="4"/>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rPr>
              <w:t>年初设定目标</w:t>
            </w:r>
          </w:p>
        </w:tc>
        <w:tc>
          <w:tcPr>
            <w:tcW w:w="3869"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1342"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jc w:val="center"/>
              <w:rPr>
                <w:rFonts w:hint="eastAsia" w:ascii="宋体"/>
                <w:color w:val="333333"/>
                <w:sz w:val="24"/>
                <w:szCs w:val="24"/>
              </w:rPr>
            </w:pPr>
          </w:p>
        </w:tc>
        <w:tc>
          <w:tcPr>
            <w:tcW w:w="5784" w:type="dxa"/>
            <w:gridSpan w:val="4"/>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rPr>
              <w:t>修建50立方米蓄水池1座，PVC管道3900米，闸阀井6个。</w:t>
            </w:r>
          </w:p>
        </w:tc>
        <w:tc>
          <w:tcPr>
            <w:tcW w:w="3869"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rPr>
              <w:t>已修建50立方米蓄水池1座，PVC管道3900米，闸阀井6个。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1342" w:type="dxa"/>
            <w:vMerge w:val="restart"/>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rPr>
              <w:t>绩效指标</w:t>
            </w:r>
          </w:p>
        </w:tc>
        <w:tc>
          <w:tcPr>
            <w:tcW w:w="2495"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480"/>
              <w:jc w:val="center"/>
              <w:rPr>
                <w:rFonts w:hint="eastAsia" w:ascii="宋体" w:hAnsi="宋体" w:eastAsia="宋体" w:cs="宋体"/>
                <w:sz w:val="24"/>
                <w:szCs w:val="24"/>
              </w:rPr>
            </w:pPr>
            <w:r>
              <w:rPr>
                <w:rFonts w:hint="eastAsia" w:ascii="宋体" w:hAnsi="宋体" w:eastAsia="宋体" w:cs="宋体"/>
                <w:color w:val="333333"/>
                <w:sz w:val="28"/>
                <w:szCs w:val="28"/>
              </w:rPr>
              <w:t>指标名称</w:t>
            </w:r>
          </w:p>
        </w:tc>
        <w:tc>
          <w:tcPr>
            <w:tcW w:w="1600" w:type="dxa"/>
            <w:vMerge w:val="restart"/>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rPr>
              <w:t>年度指标值</w:t>
            </w:r>
          </w:p>
        </w:tc>
        <w:tc>
          <w:tcPr>
            <w:tcW w:w="1689" w:type="dxa"/>
            <w:vMerge w:val="restart"/>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rPr>
              <w:t>全年完成值</w:t>
            </w:r>
          </w:p>
        </w:tc>
        <w:tc>
          <w:tcPr>
            <w:tcW w:w="1336" w:type="dxa"/>
            <w:vMerge w:val="restart"/>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rPr>
              <w:t>完成比例</w:t>
            </w:r>
          </w:p>
        </w:tc>
        <w:tc>
          <w:tcPr>
            <w:tcW w:w="2533" w:type="dxa"/>
            <w:vMerge w:val="restart"/>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rPr>
              <w:t>未完成原因和改进措施及相关说明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1342"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jc w:val="center"/>
              <w:rPr>
                <w:rFonts w:hint="eastAsia" w:ascii="宋体"/>
                <w:color w:val="333333"/>
                <w:sz w:val="24"/>
                <w:szCs w:val="24"/>
              </w:rPr>
            </w:pPr>
          </w:p>
        </w:tc>
        <w:tc>
          <w:tcPr>
            <w:tcW w:w="1152" w:type="dxa"/>
            <w:vMerge w:val="restart"/>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rPr>
              <w:t>一级指标</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rPr>
              <w:t>二级指标</w:t>
            </w:r>
          </w:p>
        </w:tc>
        <w:tc>
          <w:tcPr>
            <w:tcW w:w="1600"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jc w:val="center"/>
              <w:rPr>
                <w:rFonts w:hint="eastAsia" w:ascii="宋体"/>
                <w:color w:val="333333"/>
                <w:sz w:val="24"/>
                <w:szCs w:val="24"/>
              </w:rPr>
            </w:pPr>
          </w:p>
        </w:tc>
        <w:tc>
          <w:tcPr>
            <w:tcW w:w="1689"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jc w:val="center"/>
              <w:rPr>
                <w:rFonts w:hint="eastAsia" w:ascii="宋体"/>
                <w:color w:val="333333"/>
                <w:sz w:val="24"/>
                <w:szCs w:val="24"/>
              </w:rPr>
            </w:pPr>
          </w:p>
        </w:tc>
        <w:tc>
          <w:tcPr>
            <w:tcW w:w="1336"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jc w:val="center"/>
              <w:rPr>
                <w:rFonts w:hint="eastAsia" w:ascii="宋体"/>
                <w:color w:val="333333"/>
                <w:sz w:val="24"/>
                <w:szCs w:val="24"/>
              </w:rPr>
            </w:pPr>
          </w:p>
        </w:tc>
        <w:tc>
          <w:tcPr>
            <w:tcW w:w="2533"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jc w:val="center"/>
              <w:rPr>
                <w:rFonts w:hint="eastAsia" w:ascii="宋体"/>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1342"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jc w:val="center"/>
              <w:rPr>
                <w:rFonts w:hint="eastAsia" w:ascii="宋体"/>
                <w:color w:val="333333"/>
                <w:sz w:val="24"/>
                <w:szCs w:val="24"/>
              </w:rPr>
            </w:pPr>
          </w:p>
        </w:tc>
        <w:tc>
          <w:tcPr>
            <w:tcW w:w="1152"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jc w:val="center"/>
              <w:rPr>
                <w:rFonts w:hint="eastAsia" w:ascii="宋体"/>
                <w:color w:val="333333"/>
                <w:sz w:val="24"/>
                <w:szCs w:val="24"/>
              </w:rPr>
            </w:pPr>
          </w:p>
        </w:tc>
        <w:tc>
          <w:tcPr>
            <w:tcW w:w="1343" w:type="dxa"/>
            <w:vMerge w:val="restart"/>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rPr>
              <w:t>数量指标</w:t>
            </w:r>
          </w:p>
        </w:tc>
        <w:tc>
          <w:tcPr>
            <w:tcW w:w="16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rPr>
              <w:t>修建50方蓄水池1座</w:t>
            </w:r>
          </w:p>
        </w:tc>
        <w:tc>
          <w:tcPr>
            <w:tcW w:w="1689"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rPr>
              <w:t>1座</w:t>
            </w:r>
          </w:p>
        </w:tc>
        <w:tc>
          <w:tcPr>
            <w:tcW w:w="1336"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rPr>
              <w:t>100%</w:t>
            </w:r>
          </w:p>
        </w:tc>
        <w:tc>
          <w:tcPr>
            <w:tcW w:w="2533"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570"/>
              <w:jc w:val="center"/>
              <w:rPr>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1342"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jc w:val="center"/>
              <w:rPr>
                <w:rFonts w:hint="eastAsia" w:ascii="宋体"/>
                <w:color w:val="333333"/>
                <w:sz w:val="24"/>
                <w:szCs w:val="24"/>
              </w:rPr>
            </w:pPr>
          </w:p>
        </w:tc>
        <w:tc>
          <w:tcPr>
            <w:tcW w:w="1152"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jc w:val="center"/>
              <w:rPr>
                <w:rFonts w:hint="eastAsia" w:ascii="宋体"/>
                <w:color w:val="333333"/>
                <w:sz w:val="24"/>
                <w:szCs w:val="24"/>
              </w:rPr>
            </w:pPr>
          </w:p>
        </w:tc>
        <w:tc>
          <w:tcPr>
            <w:tcW w:w="1343"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jc w:val="center"/>
              <w:rPr>
                <w:rFonts w:hint="eastAsia" w:ascii="宋体"/>
                <w:color w:val="333333"/>
                <w:sz w:val="24"/>
                <w:szCs w:val="24"/>
              </w:rPr>
            </w:pPr>
          </w:p>
        </w:tc>
        <w:tc>
          <w:tcPr>
            <w:tcW w:w="16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rPr>
              <w:t>安装PVC管道3900米</w:t>
            </w:r>
          </w:p>
        </w:tc>
        <w:tc>
          <w:tcPr>
            <w:tcW w:w="1689"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rPr>
              <w:t>3900米</w:t>
            </w:r>
          </w:p>
        </w:tc>
        <w:tc>
          <w:tcPr>
            <w:tcW w:w="1336"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rPr>
              <w:t>100%</w:t>
            </w:r>
          </w:p>
        </w:tc>
        <w:tc>
          <w:tcPr>
            <w:tcW w:w="2533"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570"/>
              <w:jc w:val="center"/>
              <w:rPr>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1342"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jc w:val="center"/>
              <w:rPr>
                <w:rFonts w:hint="eastAsia" w:ascii="宋体"/>
                <w:color w:val="333333"/>
                <w:sz w:val="24"/>
                <w:szCs w:val="24"/>
              </w:rPr>
            </w:pPr>
          </w:p>
        </w:tc>
        <w:tc>
          <w:tcPr>
            <w:tcW w:w="1152" w:type="dxa"/>
            <w:vMerge w:val="restart"/>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rPr>
              <w:t>产出指标</w:t>
            </w:r>
          </w:p>
        </w:tc>
        <w:tc>
          <w:tcPr>
            <w:tcW w:w="1343"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jc w:val="center"/>
              <w:rPr>
                <w:rFonts w:hint="eastAsia" w:ascii="宋体"/>
                <w:color w:val="333333"/>
                <w:sz w:val="24"/>
                <w:szCs w:val="24"/>
              </w:rPr>
            </w:pPr>
          </w:p>
        </w:tc>
        <w:tc>
          <w:tcPr>
            <w:tcW w:w="16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rPr>
              <w:t>安装闸阀井6个</w:t>
            </w:r>
          </w:p>
        </w:tc>
        <w:tc>
          <w:tcPr>
            <w:tcW w:w="1689"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rPr>
              <w:t>6个</w:t>
            </w:r>
          </w:p>
        </w:tc>
        <w:tc>
          <w:tcPr>
            <w:tcW w:w="1336"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rPr>
              <w:t>100%</w:t>
            </w:r>
          </w:p>
        </w:tc>
        <w:tc>
          <w:tcPr>
            <w:tcW w:w="2533"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570"/>
              <w:jc w:val="center"/>
              <w:rPr>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1342"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jc w:val="center"/>
              <w:rPr>
                <w:rFonts w:hint="eastAsia" w:ascii="宋体"/>
                <w:color w:val="333333"/>
                <w:sz w:val="24"/>
                <w:szCs w:val="24"/>
              </w:rPr>
            </w:pPr>
          </w:p>
        </w:tc>
        <w:tc>
          <w:tcPr>
            <w:tcW w:w="1152"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jc w:val="center"/>
              <w:rPr>
                <w:rFonts w:hint="eastAsia" w:ascii="宋体"/>
                <w:color w:val="333333"/>
                <w:sz w:val="24"/>
                <w:szCs w:val="24"/>
              </w:rPr>
            </w:pP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rPr>
              <w:t>质量指标</w:t>
            </w:r>
          </w:p>
        </w:tc>
        <w:tc>
          <w:tcPr>
            <w:tcW w:w="16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rPr>
              <w:t>通过验收</w:t>
            </w:r>
          </w:p>
        </w:tc>
        <w:tc>
          <w:tcPr>
            <w:tcW w:w="1689"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rPr>
              <w:t>已通过验收</w:t>
            </w:r>
          </w:p>
        </w:tc>
        <w:tc>
          <w:tcPr>
            <w:tcW w:w="1336"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rPr>
              <w:t>100%</w:t>
            </w:r>
          </w:p>
        </w:tc>
        <w:tc>
          <w:tcPr>
            <w:tcW w:w="2533"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570"/>
              <w:jc w:val="center"/>
              <w:rPr>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1342"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jc w:val="center"/>
              <w:rPr>
                <w:rFonts w:hint="eastAsia" w:ascii="宋体"/>
                <w:color w:val="333333"/>
                <w:sz w:val="24"/>
                <w:szCs w:val="24"/>
              </w:rPr>
            </w:pPr>
          </w:p>
        </w:tc>
        <w:tc>
          <w:tcPr>
            <w:tcW w:w="1152"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jc w:val="center"/>
              <w:rPr>
                <w:rFonts w:hint="eastAsia" w:ascii="宋体"/>
                <w:color w:val="333333"/>
                <w:sz w:val="24"/>
                <w:szCs w:val="24"/>
              </w:rPr>
            </w:pP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rPr>
              <w:t>时效指标</w:t>
            </w:r>
          </w:p>
        </w:tc>
        <w:tc>
          <w:tcPr>
            <w:tcW w:w="16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rPr>
              <w:t>按时完成</w:t>
            </w:r>
          </w:p>
        </w:tc>
        <w:tc>
          <w:tcPr>
            <w:tcW w:w="1689"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rPr>
              <w:t>已按时完成</w:t>
            </w:r>
          </w:p>
        </w:tc>
        <w:tc>
          <w:tcPr>
            <w:tcW w:w="1336"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rPr>
              <w:t>100%</w:t>
            </w:r>
          </w:p>
        </w:tc>
        <w:tc>
          <w:tcPr>
            <w:tcW w:w="2533"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570"/>
              <w:jc w:val="center"/>
              <w:rPr>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1342"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jc w:val="center"/>
              <w:rPr>
                <w:rFonts w:hint="eastAsia" w:ascii="宋体"/>
                <w:color w:val="333333"/>
                <w:sz w:val="24"/>
                <w:szCs w:val="24"/>
              </w:rPr>
            </w:pPr>
          </w:p>
        </w:tc>
        <w:tc>
          <w:tcPr>
            <w:tcW w:w="1152"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jc w:val="center"/>
              <w:rPr>
                <w:rFonts w:hint="eastAsia" w:ascii="宋体"/>
                <w:color w:val="333333"/>
                <w:sz w:val="24"/>
                <w:szCs w:val="24"/>
              </w:rPr>
            </w:pP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rPr>
              <w:t>成本指标</w:t>
            </w:r>
          </w:p>
        </w:tc>
        <w:tc>
          <w:tcPr>
            <w:tcW w:w="16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570"/>
              <w:jc w:val="center"/>
              <w:rPr>
                <w:color w:val="333333"/>
                <w:sz w:val="24"/>
                <w:szCs w:val="24"/>
              </w:rPr>
            </w:pPr>
          </w:p>
        </w:tc>
        <w:tc>
          <w:tcPr>
            <w:tcW w:w="1689"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570"/>
              <w:jc w:val="center"/>
              <w:rPr>
                <w:color w:val="333333"/>
                <w:sz w:val="24"/>
                <w:szCs w:val="24"/>
              </w:rPr>
            </w:pPr>
          </w:p>
        </w:tc>
        <w:tc>
          <w:tcPr>
            <w:tcW w:w="1336"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570"/>
              <w:jc w:val="center"/>
              <w:rPr>
                <w:color w:val="333333"/>
                <w:sz w:val="24"/>
                <w:szCs w:val="24"/>
              </w:rPr>
            </w:pPr>
          </w:p>
        </w:tc>
        <w:tc>
          <w:tcPr>
            <w:tcW w:w="2533"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570"/>
              <w:jc w:val="center"/>
              <w:rPr>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1342"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jc w:val="center"/>
              <w:rPr>
                <w:rFonts w:hint="eastAsia" w:ascii="宋体"/>
                <w:color w:val="333333"/>
                <w:sz w:val="24"/>
                <w:szCs w:val="24"/>
              </w:rPr>
            </w:pPr>
          </w:p>
        </w:tc>
        <w:tc>
          <w:tcPr>
            <w:tcW w:w="1152"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jc w:val="center"/>
              <w:rPr>
                <w:rFonts w:hint="eastAsia" w:ascii="宋体"/>
                <w:color w:val="333333"/>
                <w:sz w:val="24"/>
                <w:szCs w:val="24"/>
              </w:rPr>
            </w:pP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rPr>
              <w:t>……</w:t>
            </w:r>
          </w:p>
        </w:tc>
        <w:tc>
          <w:tcPr>
            <w:tcW w:w="16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570"/>
              <w:jc w:val="center"/>
              <w:rPr>
                <w:color w:val="333333"/>
                <w:sz w:val="24"/>
                <w:szCs w:val="24"/>
              </w:rPr>
            </w:pPr>
          </w:p>
        </w:tc>
        <w:tc>
          <w:tcPr>
            <w:tcW w:w="1689"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570"/>
              <w:jc w:val="center"/>
              <w:rPr>
                <w:color w:val="333333"/>
                <w:sz w:val="24"/>
                <w:szCs w:val="24"/>
              </w:rPr>
            </w:pPr>
          </w:p>
        </w:tc>
        <w:tc>
          <w:tcPr>
            <w:tcW w:w="1336"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570"/>
              <w:jc w:val="center"/>
              <w:rPr>
                <w:color w:val="333333"/>
                <w:sz w:val="24"/>
                <w:szCs w:val="24"/>
              </w:rPr>
            </w:pPr>
          </w:p>
        </w:tc>
        <w:tc>
          <w:tcPr>
            <w:tcW w:w="2533"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570"/>
              <w:jc w:val="center"/>
              <w:rPr>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1342"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jc w:val="center"/>
              <w:rPr>
                <w:rFonts w:hint="eastAsia" w:ascii="宋体"/>
                <w:color w:val="333333"/>
                <w:sz w:val="24"/>
                <w:szCs w:val="24"/>
              </w:rPr>
            </w:pPr>
          </w:p>
        </w:tc>
        <w:tc>
          <w:tcPr>
            <w:tcW w:w="1152" w:type="dxa"/>
            <w:vMerge w:val="restart"/>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rPr>
              <w:t>效益指标</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rPr>
              <w:t>经济效益指标</w:t>
            </w:r>
          </w:p>
        </w:tc>
        <w:tc>
          <w:tcPr>
            <w:tcW w:w="16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570"/>
              <w:jc w:val="center"/>
              <w:rPr>
                <w:color w:val="333333"/>
                <w:sz w:val="24"/>
                <w:szCs w:val="24"/>
              </w:rPr>
            </w:pPr>
          </w:p>
        </w:tc>
        <w:tc>
          <w:tcPr>
            <w:tcW w:w="1689"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570"/>
              <w:jc w:val="center"/>
              <w:rPr>
                <w:color w:val="333333"/>
                <w:sz w:val="24"/>
                <w:szCs w:val="24"/>
              </w:rPr>
            </w:pPr>
          </w:p>
        </w:tc>
        <w:tc>
          <w:tcPr>
            <w:tcW w:w="1336"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570"/>
              <w:jc w:val="center"/>
              <w:rPr>
                <w:color w:val="333333"/>
                <w:sz w:val="24"/>
                <w:szCs w:val="24"/>
              </w:rPr>
            </w:pPr>
          </w:p>
        </w:tc>
        <w:tc>
          <w:tcPr>
            <w:tcW w:w="2533"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570"/>
              <w:jc w:val="center"/>
              <w:rPr>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1342"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jc w:val="center"/>
              <w:rPr>
                <w:rFonts w:hint="eastAsia" w:ascii="宋体"/>
                <w:color w:val="333333"/>
                <w:sz w:val="24"/>
                <w:szCs w:val="24"/>
              </w:rPr>
            </w:pPr>
          </w:p>
        </w:tc>
        <w:tc>
          <w:tcPr>
            <w:tcW w:w="1152"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jc w:val="center"/>
              <w:rPr>
                <w:rFonts w:hint="eastAsia" w:ascii="宋体"/>
                <w:color w:val="333333"/>
                <w:sz w:val="24"/>
                <w:szCs w:val="24"/>
              </w:rPr>
            </w:pP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rPr>
              <w:t>社会效益指标</w:t>
            </w:r>
          </w:p>
        </w:tc>
        <w:tc>
          <w:tcPr>
            <w:tcW w:w="16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rPr>
              <w:t>保障263户819人饮水问题</w:t>
            </w:r>
          </w:p>
        </w:tc>
        <w:tc>
          <w:tcPr>
            <w:tcW w:w="1689"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rPr>
              <w:t>保障了263户819人饮水问题</w:t>
            </w:r>
          </w:p>
        </w:tc>
        <w:tc>
          <w:tcPr>
            <w:tcW w:w="1336"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rPr>
              <w:t>100%</w:t>
            </w:r>
          </w:p>
        </w:tc>
        <w:tc>
          <w:tcPr>
            <w:tcW w:w="2533"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570"/>
              <w:jc w:val="center"/>
              <w:rPr>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1342"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jc w:val="center"/>
              <w:rPr>
                <w:rFonts w:hint="eastAsia" w:ascii="宋体"/>
                <w:color w:val="333333"/>
                <w:sz w:val="24"/>
                <w:szCs w:val="24"/>
              </w:rPr>
            </w:pPr>
          </w:p>
        </w:tc>
        <w:tc>
          <w:tcPr>
            <w:tcW w:w="1152"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jc w:val="center"/>
              <w:rPr>
                <w:rFonts w:hint="eastAsia" w:ascii="宋体"/>
                <w:color w:val="333333"/>
                <w:sz w:val="24"/>
                <w:szCs w:val="24"/>
              </w:rPr>
            </w:pP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rPr>
              <w:t>生态效益指标</w:t>
            </w:r>
          </w:p>
        </w:tc>
        <w:tc>
          <w:tcPr>
            <w:tcW w:w="16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570"/>
              <w:jc w:val="center"/>
              <w:rPr>
                <w:color w:val="333333"/>
                <w:sz w:val="24"/>
                <w:szCs w:val="24"/>
              </w:rPr>
            </w:pPr>
          </w:p>
        </w:tc>
        <w:tc>
          <w:tcPr>
            <w:tcW w:w="1689"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570"/>
              <w:jc w:val="center"/>
              <w:rPr>
                <w:color w:val="333333"/>
                <w:sz w:val="24"/>
                <w:szCs w:val="24"/>
              </w:rPr>
            </w:pPr>
          </w:p>
        </w:tc>
        <w:tc>
          <w:tcPr>
            <w:tcW w:w="1336"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570"/>
              <w:jc w:val="center"/>
              <w:rPr>
                <w:color w:val="333333"/>
                <w:sz w:val="24"/>
                <w:szCs w:val="24"/>
              </w:rPr>
            </w:pPr>
          </w:p>
        </w:tc>
        <w:tc>
          <w:tcPr>
            <w:tcW w:w="2533"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570"/>
              <w:jc w:val="center"/>
              <w:rPr>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1342"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jc w:val="center"/>
              <w:rPr>
                <w:rFonts w:hint="eastAsia" w:ascii="宋体"/>
                <w:color w:val="333333"/>
                <w:sz w:val="24"/>
                <w:szCs w:val="24"/>
              </w:rPr>
            </w:pPr>
          </w:p>
        </w:tc>
        <w:tc>
          <w:tcPr>
            <w:tcW w:w="1152"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jc w:val="center"/>
              <w:rPr>
                <w:rFonts w:hint="eastAsia" w:ascii="宋体"/>
                <w:color w:val="333333"/>
                <w:sz w:val="24"/>
                <w:szCs w:val="24"/>
              </w:rPr>
            </w:pP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rPr>
              <w:t>可持续影响指标</w:t>
            </w:r>
          </w:p>
        </w:tc>
        <w:tc>
          <w:tcPr>
            <w:tcW w:w="16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rPr>
              <w:t>解决辖区群众饮水问题</w:t>
            </w:r>
          </w:p>
        </w:tc>
        <w:tc>
          <w:tcPr>
            <w:tcW w:w="1689"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rPr>
              <w:t>辖区群众饮水问题得到了解决</w:t>
            </w:r>
          </w:p>
        </w:tc>
        <w:tc>
          <w:tcPr>
            <w:tcW w:w="1336"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rPr>
              <w:t>100%</w:t>
            </w:r>
          </w:p>
        </w:tc>
        <w:tc>
          <w:tcPr>
            <w:tcW w:w="2533"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570"/>
              <w:jc w:val="center"/>
              <w:rPr>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1342"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jc w:val="center"/>
              <w:rPr>
                <w:rFonts w:hint="eastAsia" w:ascii="宋体"/>
                <w:color w:val="333333"/>
                <w:sz w:val="24"/>
                <w:szCs w:val="24"/>
              </w:rPr>
            </w:pPr>
          </w:p>
        </w:tc>
        <w:tc>
          <w:tcPr>
            <w:tcW w:w="1152"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jc w:val="center"/>
              <w:rPr>
                <w:rFonts w:hint="eastAsia" w:ascii="宋体"/>
                <w:color w:val="333333"/>
                <w:sz w:val="24"/>
                <w:szCs w:val="24"/>
              </w:rPr>
            </w:pP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rPr>
              <w:t>……</w:t>
            </w:r>
          </w:p>
        </w:tc>
        <w:tc>
          <w:tcPr>
            <w:tcW w:w="16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570"/>
              <w:jc w:val="center"/>
              <w:rPr>
                <w:color w:val="333333"/>
                <w:sz w:val="24"/>
                <w:szCs w:val="24"/>
              </w:rPr>
            </w:pPr>
          </w:p>
        </w:tc>
        <w:tc>
          <w:tcPr>
            <w:tcW w:w="1689"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570"/>
              <w:jc w:val="center"/>
              <w:rPr>
                <w:color w:val="333333"/>
                <w:sz w:val="24"/>
                <w:szCs w:val="24"/>
              </w:rPr>
            </w:pPr>
          </w:p>
        </w:tc>
        <w:tc>
          <w:tcPr>
            <w:tcW w:w="1336"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570"/>
              <w:jc w:val="center"/>
              <w:rPr>
                <w:color w:val="333333"/>
                <w:sz w:val="24"/>
                <w:szCs w:val="24"/>
              </w:rPr>
            </w:pPr>
          </w:p>
        </w:tc>
        <w:tc>
          <w:tcPr>
            <w:tcW w:w="2533"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570"/>
              <w:jc w:val="center"/>
              <w:rPr>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1342"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jc w:val="center"/>
              <w:rPr>
                <w:rFonts w:hint="eastAsia" w:ascii="宋体"/>
                <w:color w:val="333333"/>
                <w:sz w:val="24"/>
                <w:szCs w:val="24"/>
              </w:rPr>
            </w:pPr>
          </w:p>
        </w:tc>
        <w:tc>
          <w:tcPr>
            <w:tcW w:w="1152" w:type="dxa"/>
            <w:vMerge w:val="restart"/>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rPr>
              <w:t>管理类指标</w:t>
            </w: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rPr>
              <w:t>满意度指标</w:t>
            </w:r>
          </w:p>
        </w:tc>
        <w:tc>
          <w:tcPr>
            <w:tcW w:w="16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rPr>
              <w:t>辖区群众满意度大于90%</w:t>
            </w:r>
          </w:p>
        </w:tc>
        <w:tc>
          <w:tcPr>
            <w:tcW w:w="1689"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rPr>
              <w:t>99%</w:t>
            </w:r>
          </w:p>
        </w:tc>
        <w:tc>
          <w:tcPr>
            <w:tcW w:w="1336"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rPr>
              <w:t>100%</w:t>
            </w:r>
          </w:p>
        </w:tc>
        <w:tc>
          <w:tcPr>
            <w:tcW w:w="2533"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570"/>
              <w:jc w:val="center"/>
              <w:rPr>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1342"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jc w:val="center"/>
              <w:rPr>
                <w:rFonts w:hint="eastAsia" w:ascii="宋体"/>
                <w:color w:val="333333"/>
                <w:sz w:val="24"/>
                <w:szCs w:val="24"/>
              </w:rPr>
            </w:pPr>
          </w:p>
        </w:tc>
        <w:tc>
          <w:tcPr>
            <w:tcW w:w="1152"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jc w:val="center"/>
              <w:rPr>
                <w:rFonts w:hint="eastAsia" w:ascii="宋体"/>
                <w:color w:val="333333"/>
                <w:sz w:val="24"/>
                <w:szCs w:val="24"/>
              </w:rPr>
            </w:pPr>
          </w:p>
        </w:tc>
        <w:tc>
          <w:tcPr>
            <w:tcW w:w="1343"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rPr>
              <w:t>……</w:t>
            </w:r>
          </w:p>
        </w:tc>
        <w:tc>
          <w:tcPr>
            <w:tcW w:w="1600"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570"/>
              <w:jc w:val="center"/>
              <w:rPr>
                <w:color w:val="333333"/>
                <w:sz w:val="24"/>
                <w:szCs w:val="24"/>
              </w:rPr>
            </w:pPr>
          </w:p>
        </w:tc>
        <w:tc>
          <w:tcPr>
            <w:tcW w:w="1689"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570"/>
              <w:jc w:val="center"/>
              <w:rPr>
                <w:color w:val="333333"/>
                <w:sz w:val="24"/>
                <w:szCs w:val="24"/>
              </w:rPr>
            </w:pPr>
          </w:p>
        </w:tc>
        <w:tc>
          <w:tcPr>
            <w:tcW w:w="1336"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570"/>
              <w:jc w:val="center"/>
              <w:rPr>
                <w:color w:val="333333"/>
                <w:sz w:val="24"/>
                <w:szCs w:val="24"/>
              </w:rPr>
            </w:pPr>
          </w:p>
        </w:tc>
        <w:tc>
          <w:tcPr>
            <w:tcW w:w="2533"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firstLine="570"/>
              <w:jc w:val="center"/>
              <w:rPr>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1342"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rPr>
              <w:t>说明</w:t>
            </w:r>
          </w:p>
        </w:tc>
        <w:tc>
          <w:tcPr>
            <w:tcW w:w="9653" w:type="dxa"/>
            <w:gridSpan w:val="6"/>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ind w:left="0" w:right="0" w:firstLine="0"/>
              <w:jc w:val="center"/>
              <w:rPr>
                <w:rFonts w:hint="eastAsia" w:ascii="宋体" w:hAnsi="宋体" w:eastAsia="宋体" w:cs="宋体"/>
                <w:sz w:val="24"/>
                <w:szCs w:val="24"/>
              </w:rPr>
            </w:pPr>
            <w:r>
              <w:rPr>
                <w:rFonts w:hint="eastAsia" w:ascii="宋体" w:hAnsi="宋体" w:eastAsia="宋体" w:cs="宋体"/>
                <w:color w:val="333333"/>
                <w:sz w:val="28"/>
                <w:szCs w:val="28"/>
              </w:rPr>
              <w:t>无</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shd w:val="clear" w:fill="FFFFFF"/>
        </w:rPr>
        <w:t>六、专业名词解释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shd w:val="clear" w:fill="FFFFFF"/>
        </w:rPr>
        <w:t>（一）财政拨款收入：指本年度从本级财政部门取得的财政拨款，包括一般公共预算财政拨款和政府性基金预算财政拨款。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shd w:val="clear" w:fill="FFFFFF"/>
        </w:rPr>
        <w:t>（二）事业收入：指事业单位开展专业业务活动及其辅助活动取得的现金流入；事业单位收到的财政专户实际核拨的教育收费等资金在此反映。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shd w:val="clear" w:fill="FFFFFF"/>
        </w:rPr>
        <w:t>（三）经营收入：指事业单位在专业业务活动及其辅助活动之外开展非独立核算经营活动取得的现金流入。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shd w:val="clear" w:fill="FFFFFF"/>
        </w:rPr>
        <w:t>（四）其他收入：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shd w:val="clear" w:fill="FFFFFF"/>
        </w:rPr>
        <w:t>（五）用事业基金弥补收支差额：指事业单位在当年的“财政拨款收入”、“事业收入”、“经营收入”、“其他收入”等不足以安排当年支出的情况下，使用以前年度积累的事业基金（事业单位当年收支相抵后按国家规定提取、用于弥补以后年度收支差额的基金）弥补本年度收支缺口的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shd w:val="clear" w:fill="FFFFFF"/>
        </w:rPr>
        <w:t>（六）年初结转和结余：指单位上年结转本年使用的基本支出结转、项目支出结转和结余、经营结余。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shd w:val="clear" w:fill="FFFFFF"/>
        </w:rPr>
        <w:t>（七）结余分配：指单位按照国家有关规定，缴纳所得税、提取专用基金、转入事业基金等当年结余的分配情况。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shd w:val="clear" w:fill="FFFFFF"/>
        </w:rPr>
        <w:t>（八）年末结转和结余：指单位结转下年的基本支出结转、项目支出结转和结余、经营结余。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shd w:val="clear" w:fill="FFFFFF"/>
        </w:rPr>
        <w:t>（九）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shd w:val="clear" w:fill="FFFFFF"/>
        </w:rPr>
        <w:t>（十）项目支出：指在基本支出之外为完成特定行政任务和事业发展目标所发生的支出。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shd w:val="clear" w:fill="FFFFFF"/>
        </w:rPr>
        <w:t>（十一）经营支出：指事业单位在专业业务活动及其辅助活动之外开展非独立核算经营活动发生的支出。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shd w:val="clear" w:fill="FFFFFF"/>
        </w:rPr>
        <w:t>（十二）“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shd w:val="clear" w:fill="FFFFFF"/>
        </w:rPr>
        <w:t>（十三）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shd w:val="clear" w:fill="FFFFFF"/>
        </w:rPr>
        <w:t>（十四）工资福利支出（支出经济分类科目类级）：反映单位开支的在职职工和编制外长期聘用人员的各类劳动报酬，以及为上述人员缴纳的各项社会保险费等。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shd w:val="clear" w:fill="FFFFFF"/>
        </w:rPr>
        <w:t>（十五）商品和服务支出（支出经济分类科目类级）：反映单位购买商品和服务的支出（不包括用于购置固定资产的支出、战略性和应急储备支出）。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shd w:val="clear" w:fill="FFFFFF"/>
        </w:rPr>
        <w:t>（十六）对个人和家庭的补助（支出经济分类科目类级）：反映用于对个人和家庭的补助支出。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shd w:val="clear" w:fill="FFFFFF"/>
        </w:rPr>
        <w:t>（十七）其他资本性支出（支出经济分类科目类级）：反映非各级发展与改革部门集中安排的用于购置固定资产、战略性和应急性储备、土地和无形资产，以及构建基础设施、大型修缮和财政支持企业更新改造所发生的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eastAsia" w:ascii="宋体" w:hAnsi="宋体" w:eastAsia="宋体" w:cs="宋体"/>
          <w:sz w:val="28"/>
          <w:szCs w:val="28"/>
        </w:rPr>
      </w:pPr>
      <w:r>
        <w:rPr>
          <w:rFonts w:hint="eastAsia" w:ascii="宋体" w:hAnsi="宋体" w:eastAsia="宋体" w:cs="宋体"/>
          <w:i w:val="0"/>
          <w:caps w:val="0"/>
          <w:color w:val="333333"/>
          <w:spacing w:val="0"/>
          <w:sz w:val="28"/>
          <w:szCs w:val="28"/>
          <w:shd w:val="clear" w:fill="FFFFFF"/>
        </w:rPr>
        <w:t>七、决算公开联系方式及信息反馈渠道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80" w:afterAutospacing="0" w:line="450" w:lineRule="atLeast"/>
        <w:ind w:left="0" w:right="0" w:firstLine="570"/>
        <w:rPr>
          <w:rFonts w:hint="default" w:ascii="宋体" w:hAnsi="宋体" w:eastAsia="宋体" w:cs="宋体"/>
          <w:sz w:val="28"/>
          <w:szCs w:val="28"/>
          <w:lang w:val="en-US" w:eastAsia="zh-CN"/>
        </w:rPr>
      </w:pPr>
      <w:r>
        <w:rPr>
          <w:rFonts w:hint="eastAsia" w:ascii="宋体" w:hAnsi="宋体" w:eastAsia="宋体" w:cs="宋体"/>
          <w:i w:val="0"/>
          <w:caps w:val="0"/>
          <w:color w:val="333333"/>
          <w:spacing w:val="0"/>
          <w:sz w:val="28"/>
          <w:szCs w:val="28"/>
          <w:shd w:val="clear" w:fill="FFFFFF"/>
        </w:rPr>
        <w:t>本单位决算公开信息反馈和联系方式：023-6648</w:t>
      </w:r>
      <w:r>
        <w:rPr>
          <w:rFonts w:hint="eastAsia" w:ascii="宋体" w:hAnsi="宋体" w:eastAsia="宋体" w:cs="宋体"/>
          <w:i w:val="0"/>
          <w:caps w:val="0"/>
          <w:color w:val="333333"/>
          <w:spacing w:val="0"/>
          <w:sz w:val="28"/>
          <w:szCs w:val="28"/>
          <w:shd w:val="clear" w:fill="FFFFFF"/>
          <w:lang w:val="en-US" w:eastAsia="zh-CN"/>
        </w:rPr>
        <w:t>1180</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777EFD"/>
    <w:rsid w:val="17777EFD"/>
    <w:rsid w:val="5A272F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2025-03-11T03:41:00Z</dcterms:created>
  <dc:creator>Administrator</dc:creator>
  <cp:lastModifiedBy>Administrator</cp:lastModifiedBy>
  <dcterms:modified xsi:type="dcterms:W3CDTF">2026-06-17T02:57:17Z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